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25CA" w14:textId="7F12CD2B" w:rsidR="00B87928" w:rsidRPr="00594D29" w:rsidRDefault="00FD0262" w:rsidP="006012D3">
      <w:pPr>
        <w:pStyle w:val="TOC1"/>
        <w:rPr>
          <w:rStyle w:val="Heading1Char"/>
          <w:rFonts w:ascii="Times New Roman" w:hAnsi="Times New Roman"/>
          <w:sz w:val="24"/>
          <w:szCs w:val="24"/>
        </w:rPr>
      </w:pPr>
      <w:r w:rsidRPr="00594D29">
        <w:rPr>
          <w:rStyle w:val="Heading1Char"/>
          <w:rFonts w:ascii="Times New Roman" w:hAnsi="Times New Roman"/>
          <w:sz w:val="24"/>
          <w:szCs w:val="24"/>
        </w:rPr>
        <w:t>Contents</w:t>
      </w:r>
    </w:p>
    <w:p w14:paraId="7F1BCBFF" w14:textId="0BA14DB1" w:rsidR="009F5ADA" w:rsidRPr="00663C69" w:rsidRDefault="00FD0262">
      <w:pPr>
        <w:pStyle w:val="TOC1"/>
        <w:rPr>
          <w:rFonts w:asciiTheme="minorHAnsi" w:eastAsiaTheme="minorEastAsia" w:hAnsiTheme="minorHAnsi" w:cstheme="minorBidi"/>
          <w:bCs w:val="0"/>
          <w:sz w:val="24"/>
          <w:szCs w:val="24"/>
        </w:rPr>
      </w:pPr>
      <w:r w:rsidRPr="00594D29">
        <w:rPr>
          <w:rFonts w:eastAsia="Yu Gothic Light"/>
          <w:sz w:val="24"/>
          <w:szCs w:val="24"/>
        </w:rPr>
        <w:fldChar w:fldCharType="begin"/>
      </w:r>
      <w:r w:rsidRPr="00594D29">
        <w:rPr>
          <w:sz w:val="24"/>
          <w:szCs w:val="24"/>
        </w:rPr>
        <w:instrText xml:space="preserve"> TOC \o "1-1" \u \h </w:instrText>
      </w:r>
      <w:r w:rsidRPr="00594D29">
        <w:rPr>
          <w:rFonts w:eastAsia="Yu Gothic Light"/>
          <w:sz w:val="24"/>
          <w:szCs w:val="24"/>
        </w:rPr>
        <w:fldChar w:fldCharType="separate"/>
      </w:r>
      <w:hyperlink w:anchor="_Toc38456177" w:history="1">
        <w:r w:rsidR="009F5ADA" w:rsidRPr="00663C69">
          <w:rPr>
            <w:rStyle w:val="Hyperlink"/>
            <w:sz w:val="24"/>
            <w:szCs w:val="24"/>
          </w:rPr>
          <w:t>Reimbursement Process</w:t>
        </w:r>
        <w:r w:rsidR="009F5ADA" w:rsidRPr="00663C69">
          <w:rPr>
            <w:sz w:val="24"/>
            <w:szCs w:val="24"/>
          </w:rPr>
          <w:tab/>
        </w:r>
        <w:r w:rsidR="009F5ADA" w:rsidRPr="00663C69">
          <w:rPr>
            <w:sz w:val="24"/>
            <w:szCs w:val="24"/>
          </w:rPr>
          <w:fldChar w:fldCharType="begin"/>
        </w:r>
        <w:r w:rsidR="009F5ADA" w:rsidRPr="00663C69">
          <w:rPr>
            <w:sz w:val="24"/>
            <w:szCs w:val="24"/>
          </w:rPr>
          <w:instrText xml:space="preserve"> PAGEREF _Toc38456177 \h </w:instrText>
        </w:r>
        <w:r w:rsidR="009F5ADA" w:rsidRPr="00663C69">
          <w:rPr>
            <w:sz w:val="24"/>
            <w:szCs w:val="24"/>
          </w:rPr>
        </w:r>
        <w:r w:rsidR="009F5ADA" w:rsidRPr="00663C69">
          <w:rPr>
            <w:sz w:val="24"/>
            <w:szCs w:val="24"/>
          </w:rPr>
          <w:fldChar w:fldCharType="separate"/>
        </w:r>
        <w:r w:rsidR="0041077B">
          <w:rPr>
            <w:sz w:val="24"/>
            <w:szCs w:val="24"/>
          </w:rPr>
          <w:t>1</w:t>
        </w:r>
        <w:r w:rsidR="009F5ADA" w:rsidRPr="00663C69">
          <w:rPr>
            <w:sz w:val="24"/>
            <w:szCs w:val="24"/>
          </w:rPr>
          <w:fldChar w:fldCharType="end"/>
        </w:r>
      </w:hyperlink>
    </w:p>
    <w:p w14:paraId="686DEC3F" w14:textId="69990B2B" w:rsidR="009F5ADA" w:rsidRPr="00663C69" w:rsidRDefault="00974458">
      <w:pPr>
        <w:pStyle w:val="TOC1"/>
        <w:rPr>
          <w:rFonts w:asciiTheme="minorHAnsi" w:eastAsiaTheme="minorEastAsia" w:hAnsiTheme="minorHAnsi" w:cstheme="minorBidi"/>
          <w:bCs w:val="0"/>
          <w:sz w:val="24"/>
          <w:szCs w:val="24"/>
        </w:rPr>
      </w:pPr>
      <w:hyperlink w:anchor="_Toc38456178" w:history="1">
        <w:r w:rsidR="009F5ADA" w:rsidRPr="00663C69">
          <w:rPr>
            <w:rStyle w:val="Hyperlink"/>
            <w:sz w:val="24"/>
            <w:szCs w:val="24"/>
          </w:rPr>
          <w:t>Reimbursement Eligibility</w:t>
        </w:r>
        <w:r w:rsidR="009F5ADA" w:rsidRPr="00663C69">
          <w:rPr>
            <w:sz w:val="24"/>
            <w:szCs w:val="24"/>
          </w:rPr>
          <w:tab/>
        </w:r>
        <w:r w:rsidR="009F5ADA" w:rsidRPr="00663C69">
          <w:rPr>
            <w:sz w:val="24"/>
            <w:szCs w:val="24"/>
          </w:rPr>
          <w:fldChar w:fldCharType="begin"/>
        </w:r>
        <w:r w:rsidR="009F5ADA" w:rsidRPr="00663C69">
          <w:rPr>
            <w:sz w:val="24"/>
            <w:szCs w:val="24"/>
          </w:rPr>
          <w:instrText xml:space="preserve"> PAGEREF _Toc38456178 \h </w:instrText>
        </w:r>
        <w:r w:rsidR="009F5ADA" w:rsidRPr="00663C69">
          <w:rPr>
            <w:sz w:val="24"/>
            <w:szCs w:val="24"/>
          </w:rPr>
        </w:r>
        <w:r w:rsidR="009F5ADA" w:rsidRPr="00663C69">
          <w:rPr>
            <w:sz w:val="24"/>
            <w:szCs w:val="24"/>
          </w:rPr>
          <w:fldChar w:fldCharType="separate"/>
        </w:r>
        <w:r w:rsidR="0041077B">
          <w:rPr>
            <w:sz w:val="24"/>
            <w:szCs w:val="24"/>
          </w:rPr>
          <w:t>4</w:t>
        </w:r>
        <w:r w:rsidR="009F5ADA" w:rsidRPr="00663C69">
          <w:rPr>
            <w:sz w:val="24"/>
            <w:szCs w:val="24"/>
          </w:rPr>
          <w:fldChar w:fldCharType="end"/>
        </w:r>
      </w:hyperlink>
    </w:p>
    <w:p w14:paraId="5C0D1B68" w14:textId="6F4280B6" w:rsidR="009F5ADA" w:rsidRPr="00663C69" w:rsidRDefault="00974458">
      <w:pPr>
        <w:pStyle w:val="TOC1"/>
        <w:rPr>
          <w:rFonts w:asciiTheme="minorHAnsi" w:eastAsiaTheme="minorEastAsia" w:hAnsiTheme="minorHAnsi" w:cstheme="minorBidi"/>
          <w:bCs w:val="0"/>
          <w:sz w:val="24"/>
          <w:szCs w:val="24"/>
        </w:rPr>
      </w:pPr>
      <w:hyperlink w:anchor="_Toc38456179" w:history="1">
        <w:r w:rsidR="009F5ADA" w:rsidRPr="00663C69">
          <w:rPr>
            <w:rStyle w:val="Hyperlink"/>
            <w:sz w:val="24"/>
            <w:szCs w:val="24"/>
          </w:rPr>
          <w:t>Estimates and Allocations</w:t>
        </w:r>
        <w:r w:rsidR="009F5ADA" w:rsidRPr="00663C69">
          <w:rPr>
            <w:sz w:val="24"/>
            <w:szCs w:val="24"/>
          </w:rPr>
          <w:tab/>
        </w:r>
        <w:r w:rsidR="009F5ADA" w:rsidRPr="00663C69">
          <w:rPr>
            <w:sz w:val="24"/>
            <w:szCs w:val="24"/>
          </w:rPr>
          <w:fldChar w:fldCharType="begin"/>
        </w:r>
        <w:r w:rsidR="009F5ADA" w:rsidRPr="00663C69">
          <w:rPr>
            <w:sz w:val="24"/>
            <w:szCs w:val="24"/>
          </w:rPr>
          <w:instrText xml:space="preserve"> PAGEREF _Toc38456179 \h </w:instrText>
        </w:r>
        <w:r w:rsidR="009F5ADA" w:rsidRPr="00663C69">
          <w:rPr>
            <w:sz w:val="24"/>
            <w:szCs w:val="24"/>
          </w:rPr>
        </w:r>
        <w:r w:rsidR="009F5ADA" w:rsidRPr="00663C69">
          <w:rPr>
            <w:sz w:val="24"/>
            <w:szCs w:val="24"/>
          </w:rPr>
          <w:fldChar w:fldCharType="separate"/>
        </w:r>
        <w:r w:rsidR="0041077B">
          <w:rPr>
            <w:sz w:val="24"/>
            <w:szCs w:val="24"/>
          </w:rPr>
          <w:t>6</w:t>
        </w:r>
        <w:r w:rsidR="009F5ADA" w:rsidRPr="00663C69">
          <w:rPr>
            <w:sz w:val="24"/>
            <w:szCs w:val="24"/>
          </w:rPr>
          <w:fldChar w:fldCharType="end"/>
        </w:r>
      </w:hyperlink>
    </w:p>
    <w:p w14:paraId="7DE13B8B" w14:textId="62DE5743" w:rsidR="009F5ADA" w:rsidRPr="00663C69" w:rsidRDefault="00974458">
      <w:pPr>
        <w:pStyle w:val="TOC1"/>
        <w:rPr>
          <w:rFonts w:asciiTheme="minorHAnsi" w:eastAsiaTheme="minorEastAsia" w:hAnsiTheme="minorHAnsi" w:cstheme="minorBidi"/>
          <w:bCs w:val="0"/>
          <w:sz w:val="24"/>
          <w:szCs w:val="24"/>
        </w:rPr>
      </w:pPr>
      <w:hyperlink w:anchor="_Toc38456180" w:history="1">
        <w:r w:rsidR="009F5ADA" w:rsidRPr="00663C69">
          <w:rPr>
            <w:rStyle w:val="Hyperlink"/>
            <w:sz w:val="24"/>
            <w:szCs w:val="24"/>
          </w:rPr>
          <w:t>Reimbursable Expenses</w:t>
        </w:r>
        <w:r w:rsidR="009F5ADA" w:rsidRPr="00663C69">
          <w:rPr>
            <w:sz w:val="24"/>
            <w:szCs w:val="24"/>
          </w:rPr>
          <w:tab/>
        </w:r>
        <w:r w:rsidR="009F5ADA" w:rsidRPr="00663C69">
          <w:rPr>
            <w:sz w:val="24"/>
            <w:szCs w:val="24"/>
          </w:rPr>
          <w:fldChar w:fldCharType="begin"/>
        </w:r>
        <w:r w:rsidR="009F5ADA" w:rsidRPr="00663C69">
          <w:rPr>
            <w:sz w:val="24"/>
            <w:szCs w:val="24"/>
          </w:rPr>
          <w:instrText xml:space="preserve"> PAGEREF _Toc38456180 \h </w:instrText>
        </w:r>
        <w:r w:rsidR="009F5ADA" w:rsidRPr="00663C69">
          <w:rPr>
            <w:sz w:val="24"/>
            <w:szCs w:val="24"/>
          </w:rPr>
        </w:r>
        <w:r w:rsidR="009F5ADA" w:rsidRPr="00663C69">
          <w:rPr>
            <w:sz w:val="24"/>
            <w:szCs w:val="24"/>
          </w:rPr>
          <w:fldChar w:fldCharType="separate"/>
        </w:r>
        <w:r w:rsidR="0041077B">
          <w:rPr>
            <w:sz w:val="24"/>
            <w:szCs w:val="24"/>
          </w:rPr>
          <w:t>8</w:t>
        </w:r>
        <w:r w:rsidR="009F5ADA" w:rsidRPr="00663C69">
          <w:rPr>
            <w:sz w:val="24"/>
            <w:szCs w:val="24"/>
          </w:rPr>
          <w:fldChar w:fldCharType="end"/>
        </w:r>
      </w:hyperlink>
    </w:p>
    <w:p w14:paraId="44B650BC" w14:textId="09996769" w:rsidR="009F5ADA" w:rsidRPr="00663C69" w:rsidRDefault="00974458">
      <w:pPr>
        <w:pStyle w:val="TOC1"/>
        <w:rPr>
          <w:rFonts w:asciiTheme="minorHAnsi" w:eastAsiaTheme="minorEastAsia" w:hAnsiTheme="minorHAnsi" w:cstheme="minorBidi"/>
          <w:bCs w:val="0"/>
          <w:sz w:val="24"/>
          <w:szCs w:val="24"/>
        </w:rPr>
      </w:pPr>
      <w:hyperlink w:anchor="_Toc38456181" w:history="1">
        <w:r w:rsidR="009F5ADA" w:rsidRPr="00663C69">
          <w:rPr>
            <w:rStyle w:val="Hyperlink"/>
            <w:sz w:val="24"/>
            <w:szCs w:val="24"/>
          </w:rPr>
          <w:t>Submitting Invoices</w:t>
        </w:r>
        <w:r w:rsidR="009F5ADA" w:rsidRPr="00663C69">
          <w:rPr>
            <w:sz w:val="24"/>
            <w:szCs w:val="24"/>
          </w:rPr>
          <w:tab/>
        </w:r>
        <w:r w:rsidR="009F5ADA" w:rsidRPr="00663C69">
          <w:rPr>
            <w:sz w:val="24"/>
            <w:szCs w:val="24"/>
          </w:rPr>
          <w:fldChar w:fldCharType="begin"/>
        </w:r>
        <w:r w:rsidR="009F5ADA" w:rsidRPr="00663C69">
          <w:rPr>
            <w:sz w:val="24"/>
            <w:szCs w:val="24"/>
          </w:rPr>
          <w:instrText xml:space="preserve"> PAGEREF _Toc38456181 \h </w:instrText>
        </w:r>
        <w:r w:rsidR="009F5ADA" w:rsidRPr="00663C69">
          <w:rPr>
            <w:sz w:val="24"/>
            <w:szCs w:val="24"/>
          </w:rPr>
        </w:r>
        <w:r w:rsidR="009F5ADA" w:rsidRPr="00663C69">
          <w:rPr>
            <w:sz w:val="24"/>
            <w:szCs w:val="24"/>
          </w:rPr>
          <w:fldChar w:fldCharType="separate"/>
        </w:r>
        <w:r w:rsidR="0041077B">
          <w:rPr>
            <w:sz w:val="24"/>
            <w:szCs w:val="24"/>
          </w:rPr>
          <w:t>11</w:t>
        </w:r>
        <w:r w:rsidR="009F5ADA" w:rsidRPr="00663C69">
          <w:rPr>
            <w:sz w:val="24"/>
            <w:szCs w:val="24"/>
          </w:rPr>
          <w:fldChar w:fldCharType="end"/>
        </w:r>
      </w:hyperlink>
    </w:p>
    <w:p w14:paraId="21442546" w14:textId="50C333AF" w:rsidR="009F5ADA" w:rsidRPr="00663C69" w:rsidRDefault="00974458">
      <w:pPr>
        <w:pStyle w:val="TOC1"/>
        <w:rPr>
          <w:rFonts w:asciiTheme="minorHAnsi" w:eastAsiaTheme="minorEastAsia" w:hAnsiTheme="minorHAnsi" w:cstheme="minorBidi"/>
          <w:bCs w:val="0"/>
          <w:sz w:val="24"/>
          <w:szCs w:val="24"/>
        </w:rPr>
      </w:pPr>
      <w:hyperlink w:anchor="_Toc38456182" w:history="1">
        <w:r w:rsidR="009F5ADA" w:rsidRPr="00663C69">
          <w:rPr>
            <w:rStyle w:val="Hyperlink"/>
            <w:sz w:val="24"/>
            <w:szCs w:val="24"/>
          </w:rPr>
          <w:t>Payment Process</w:t>
        </w:r>
        <w:r w:rsidR="009F5ADA" w:rsidRPr="00663C69">
          <w:rPr>
            <w:sz w:val="24"/>
            <w:szCs w:val="24"/>
          </w:rPr>
          <w:tab/>
        </w:r>
        <w:r w:rsidR="009F5ADA" w:rsidRPr="00663C69">
          <w:rPr>
            <w:sz w:val="24"/>
            <w:szCs w:val="24"/>
          </w:rPr>
          <w:fldChar w:fldCharType="begin"/>
        </w:r>
        <w:r w:rsidR="009F5ADA" w:rsidRPr="00663C69">
          <w:rPr>
            <w:sz w:val="24"/>
            <w:szCs w:val="24"/>
          </w:rPr>
          <w:instrText xml:space="preserve"> PAGEREF _Toc38456182 \h </w:instrText>
        </w:r>
        <w:r w:rsidR="009F5ADA" w:rsidRPr="00663C69">
          <w:rPr>
            <w:sz w:val="24"/>
            <w:szCs w:val="24"/>
          </w:rPr>
        </w:r>
        <w:r w:rsidR="009F5ADA" w:rsidRPr="00663C69">
          <w:rPr>
            <w:sz w:val="24"/>
            <w:szCs w:val="24"/>
          </w:rPr>
          <w:fldChar w:fldCharType="separate"/>
        </w:r>
        <w:r w:rsidR="0041077B">
          <w:rPr>
            <w:sz w:val="24"/>
            <w:szCs w:val="24"/>
          </w:rPr>
          <w:t>14</w:t>
        </w:r>
        <w:r w:rsidR="009F5ADA" w:rsidRPr="00663C69">
          <w:rPr>
            <w:sz w:val="24"/>
            <w:szCs w:val="24"/>
          </w:rPr>
          <w:fldChar w:fldCharType="end"/>
        </w:r>
      </w:hyperlink>
    </w:p>
    <w:p w14:paraId="4E56B443" w14:textId="574FCE96" w:rsidR="009F5ADA" w:rsidRDefault="00974458">
      <w:pPr>
        <w:pStyle w:val="TOC1"/>
        <w:rPr>
          <w:rFonts w:asciiTheme="minorHAnsi" w:eastAsiaTheme="minorEastAsia" w:hAnsiTheme="minorHAnsi" w:cstheme="minorBidi"/>
          <w:bCs w:val="0"/>
        </w:rPr>
      </w:pPr>
      <w:hyperlink w:anchor="_Toc38456183" w:history="1">
        <w:r w:rsidR="009F5ADA" w:rsidRPr="00663C69">
          <w:rPr>
            <w:rStyle w:val="Hyperlink"/>
            <w:sz w:val="24"/>
            <w:szCs w:val="24"/>
          </w:rPr>
          <w:t>Navigating LMS and Form 399, Troubleshooting, and Invoice Issues</w:t>
        </w:r>
        <w:r w:rsidR="009F5ADA" w:rsidRPr="00663C69">
          <w:rPr>
            <w:sz w:val="24"/>
            <w:szCs w:val="24"/>
          </w:rPr>
          <w:tab/>
        </w:r>
        <w:r w:rsidR="009F5ADA" w:rsidRPr="00663C69">
          <w:rPr>
            <w:sz w:val="24"/>
            <w:szCs w:val="24"/>
          </w:rPr>
          <w:fldChar w:fldCharType="begin"/>
        </w:r>
        <w:r w:rsidR="009F5ADA" w:rsidRPr="00663C69">
          <w:rPr>
            <w:sz w:val="24"/>
            <w:szCs w:val="24"/>
          </w:rPr>
          <w:instrText xml:space="preserve"> PAGEREF _Toc38456183 \h </w:instrText>
        </w:r>
        <w:r w:rsidR="009F5ADA" w:rsidRPr="00663C69">
          <w:rPr>
            <w:sz w:val="24"/>
            <w:szCs w:val="24"/>
          </w:rPr>
        </w:r>
        <w:r w:rsidR="009F5ADA" w:rsidRPr="00663C69">
          <w:rPr>
            <w:sz w:val="24"/>
            <w:szCs w:val="24"/>
          </w:rPr>
          <w:fldChar w:fldCharType="separate"/>
        </w:r>
        <w:r w:rsidR="0041077B">
          <w:rPr>
            <w:sz w:val="24"/>
            <w:szCs w:val="24"/>
          </w:rPr>
          <w:t>19</w:t>
        </w:r>
        <w:r w:rsidR="009F5ADA" w:rsidRPr="00663C69">
          <w:rPr>
            <w:sz w:val="24"/>
            <w:szCs w:val="24"/>
          </w:rPr>
          <w:fldChar w:fldCharType="end"/>
        </w:r>
      </w:hyperlink>
    </w:p>
    <w:p w14:paraId="3D346FC5" w14:textId="2E474481" w:rsidR="00A90C18" w:rsidRDefault="00FD0262" w:rsidP="006012D3">
      <w:pPr>
        <w:pStyle w:val="Heading1"/>
        <w:spacing w:before="120"/>
      </w:pPr>
      <w:r w:rsidRPr="00594D29">
        <w:rPr>
          <w:b w:val="0"/>
          <w:bCs/>
          <w:sz w:val="24"/>
          <w:szCs w:val="24"/>
        </w:rPr>
        <w:fldChar w:fldCharType="end"/>
      </w:r>
    </w:p>
    <w:p w14:paraId="191EDA59" w14:textId="54FE5CA1" w:rsidR="00B87928" w:rsidRDefault="00FD0262" w:rsidP="00882B21">
      <w:pPr>
        <w:pStyle w:val="Heading1"/>
        <w:rPr>
          <w:rStyle w:val="Heading1Char"/>
          <w:rFonts w:ascii="Times New Roman" w:hAnsi="Times New Roman"/>
          <w:color w:val="auto"/>
          <w:sz w:val="28"/>
          <w:szCs w:val="28"/>
        </w:rPr>
      </w:pPr>
      <w:bookmarkStart w:id="0" w:name="_Toc38456177"/>
      <w:r>
        <w:rPr>
          <w:rStyle w:val="Heading1Char"/>
          <w:rFonts w:ascii="Times New Roman" w:hAnsi="Times New Roman"/>
          <w:color w:val="auto"/>
          <w:sz w:val="28"/>
          <w:szCs w:val="28"/>
        </w:rPr>
        <w:t>Reimbursement Process</w:t>
      </w:r>
      <w:bookmarkEnd w:id="0"/>
    </w:p>
    <w:p w14:paraId="104A4A4A" w14:textId="77777777" w:rsidR="00C46FC3" w:rsidRPr="00C46FC3" w:rsidRDefault="00C46FC3" w:rsidP="006012D3"/>
    <w:p w14:paraId="2990AB31" w14:textId="77777777" w:rsidR="00B87928" w:rsidRPr="006012D3" w:rsidRDefault="00FD0262" w:rsidP="006012D3">
      <w:pPr>
        <w:pStyle w:val="Heading3"/>
      </w:pPr>
      <w:r w:rsidRPr="00882B21">
        <w:t>How does an LPTV/translator station request reimbursement?</w:t>
      </w:r>
    </w:p>
    <w:p w14:paraId="12B5F865" w14:textId="41084F01" w:rsidR="00B87928" w:rsidRDefault="00FD0262">
      <w:bookmarkStart w:id="1" w:name="_Hlk17115410"/>
      <w:r>
        <w:rPr>
          <w:rFonts w:cs="Times New Roman"/>
          <w:szCs w:val="24"/>
        </w:rPr>
        <w:t xml:space="preserve">To request reimbursement for eligible expenses, an eligible LPTV/translator station must file two FCC forms and related supporting documents:  1) FCC Form 2100, Schedule 399 (Reimbursement Form or Form 399), accessible in the Commission’s Licensing and Management System (LMS), and associated documentation/invoices; and 2) a signed, notarized FCC Form 1876 (Banking Form or Form 1876), which is accessible in the Commission Registration System (CORES) Incentive Auction Financial Module (CIAFM), so the Commission knows where to send payments.  </w:t>
      </w:r>
      <w:r w:rsidRPr="006012D3">
        <w:rPr>
          <w:rFonts w:cs="Times New Roman"/>
          <w:szCs w:val="24"/>
        </w:rPr>
        <w:t xml:space="preserve">The deadline for filing an initial Form 399 </w:t>
      </w:r>
      <w:r w:rsidR="0CC9790A" w:rsidRPr="006012D3">
        <w:rPr>
          <w:rFonts w:cs="Times New Roman"/>
          <w:szCs w:val="24"/>
        </w:rPr>
        <w:t>was</w:t>
      </w:r>
      <w:r w:rsidRPr="006012D3">
        <w:rPr>
          <w:rFonts w:cs="Times New Roman"/>
          <w:szCs w:val="24"/>
        </w:rPr>
        <w:t xml:space="preserve"> November 14, 2019</w:t>
      </w:r>
      <w:r>
        <w:rPr>
          <w:rStyle w:val="FootnoteReference"/>
          <w:rFonts w:cs="Times New Roman"/>
          <w:szCs w:val="24"/>
        </w:rPr>
        <w:footnoteReference w:id="2"/>
      </w:r>
      <w:r w:rsidR="00CC4250">
        <w:rPr>
          <w:rFonts w:cs="Times New Roman"/>
          <w:szCs w:val="24"/>
        </w:rPr>
        <w:t xml:space="preserve"> </w:t>
      </w:r>
      <w:r w:rsidR="3C34F40C" w:rsidRPr="10B4236B">
        <w:rPr>
          <w:rFonts w:cs="Times New Roman"/>
          <w:szCs w:val="24"/>
        </w:rPr>
        <w:t>although LPTV/translator stations may still submit a Form 399 for</w:t>
      </w:r>
      <w:r w:rsidR="75A06247" w:rsidRPr="10B4236B">
        <w:rPr>
          <w:rFonts w:cs="Times New Roman"/>
          <w:szCs w:val="24"/>
        </w:rPr>
        <w:t xml:space="preserve"> eligibility consideration.</w:t>
      </w:r>
      <w:r w:rsidRPr="03488535">
        <w:rPr>
          <w:rStyle w:val="FootnoteReference"/>
          <w:rFonts w:cs="Times New Roman"/>
          <w:szCs w:val="24"/>
        </w:rPr>
        <w:footnoteReference w:id="3"/>
      </w:r>
      <w:r>
        <w:rPr>
          <w:rFonts w:cs="Times New Roman"/>
          <w:szCs w:val="24"/>
        </w:rPr>
        <w:t xml:space="preserve">  There is no deadline for filing a Form 1876, but one must be filed and reviewed by Commission staff before any reimbursement payments can be made.</w:t>
      </w:r>
    </w:p>
    <w:p w14:paraId="0A37501D" w14:textId="77777777" w:rsidR="00B87928" w:rsidRDefault="00B87928">
      <w:pPr>
        <w:rPr>
          <w:rFonts w:cs="Times New Roman"/>
          <w:szCs w:val="24"/>
        </w:rPr>
      </w:pPr>
    </w:p>
    <w:p w14:paraId="22536EBD" w14:textId="77777777" w:rsidR="00B87928" w:rsidRDefault="00FD0262">
      <w:r>
        <w:rPr>
          <w:rFonts w:cs="Times New Roman"/>
          <w:b/>
          <w:szCs w:val="24"/>
          <w:u w:val="single"/>
        </w:rPr>
        <w:t>Form 399</w:t>
      </w:r>
      <w:r>
        <w:rPr>
          <w:rFonts w:cs="Times New Roman"/>
          <w:szCs w:val="24"/>
        </w:rPr>
        <w:t xml:space="preserve"> is used both to establish eligibility and to request reimbursement for eligible expenses incurred as a result of the television channel repack.  You must establish eligibility by completing a one-time certification demonstrating that you meet the eligibility criteria (Eligibility Certification).</w:t>
      </w:r>
      <w:r>
        <w:rPr>
          <w:rStyle w:val="CommentReference"/>
          <w:rFonts w:cs="Times New Roman"/>
          <w:sz w:val="24"/>
          <w:szCs w:val="24"/>
        </w:rPr>
        <w:t xml:space="preserve">  </w:t>
      </w:r>
      <w:r>
        <w:rPr>
          <w:rFonts w:cs="Times New Roman"/>
          <w:szCs w:val="24"/>
        </w:rPr>
        <w:t>You must include the following</w:t>
      </w:r>
      <w:bookmarkEnd w:id="1"/>
      <w:r>
        <w:rPr>
          <w:rFonts w:cs="Times New Roman"/>
          <w:szCs w:val="24"/>
        </w:rPr>
        <w:t>, and we strongly encourage that you include a cover letter to further explain any elements of your Eligibility Certification and supporting documentation:</w:t>
      </w:r>
    </w:p>
    <w:p w14:paraId="158A2D29" w14:textId="77777777" w:rsidR="00B87928" w:rsidRDefault="00FD0262" w:rsidP="006012D3">
      <w:pPr>
        <w:pStyle w:val="ListParagraph"/>
        <w:numPr>
          <w:ilvl w:val="0"/>
          <w:numId w:val="8"/>
        </w:numPr>
        <w:spacing w:line="254" w:lineRule="auto"/>
        <w:ind w:left="1080"/>
        <w:rPr>
          <w:rFonts w:cs="Times New Roman"/>
          <w:szCs w:val="24"/>
        </w:rPr>
      </w:pPr>
      <w:r>
        <w:rPr>
          <w:rFonts w:cs="Times New Roman"/>
          <w:szCs w:val="24"/>
        </w:rPr>
        <w:lastRenderedPageBreak/>
        <w:t>Construction Permit from the Commission’s Special Displacement Window (April 10, 2018—June 1, 2018);</w:t>
      </w:r>
    </w:p>
    <w:p w14:paraId="058884F8" w14:textId="77777777" w:rsidR="00B87928" w:rsidRDefault="00FD0262" w:rsidP="006012D3">
      <w:pPr>
        <w:pStyle w:val="ListParagraph"/>
        <w:numPr>
          <w:ilvl w:val="0"/>
          <w:numId w:val="8"/>
        </w:numPr>
        <w:spacing w:line="254" w:lineRule="auto"/>
        <w:ind w:left="1080"/>
        <w:rPr>
          <w:rFonts w:cs="Times New Roman"/>
          <w:szCs w:val="24"/>
        </w:rPr>
      </w:pPr>
      <w:r>
        <w:rPr>
          <w:rFonts w:cs="Times New Roman"/>
          <w:szCs w:val="24"/>
        </w:rPr>
        <w:t>License or pending application for license (FCC Form 2100 Schedule D) prior to April 13, 2017;</w:t>
      </w:r>
    </w:p>
    <w:p w14:paraId="5E937866" w14:textId="77777777" w:rsidR="00B87928" w:rsidRDefault="00FD0262" w:rsidP="006012D3">
      <w:pPr>
        <w:pStyle w:val="ListParagraph"/>
        <w:numPr>
          <w:ilvl w:val="0"/>
          <w:numId w:val="8"/>
        </w:numPr>
        <w:spacing w:line="254" w:lineRule="auto"/>
        <w:ind w:left="1080"/>
      </w:pPr>
      <w:r>
        <w:rPr>
          <w:rFonts w:cs="Times New Roman"/>
          <w:szCs w:val="24"/>
        </w:rPr>
        <w:t>Evidence that the station was licensed and transmitting for at least nine of the months between April 12, 2016, and April 13, 2017.  Submit one or more of the following documents to meet minimum operating requirement (first 4 strongly preferred):</w:t>
      </w:r>
      <w:r>
        <w:rPr>
          <w:rStyle w:val="FootnoteReference"/>
          <w:rFonts w:cs="Times New Roman"/>
          <w:szCs w:val="24"/>
        </w:rPr>
        <w:footnoteReference w:id="4"/>
      </w:r>
    </w:p>
    <w:p w14:paraId="2F243891" w14:textId="77777777" w:rsidR="00B87928" w:rsidRDefault="00FD0262">
      <w:pPr>
        <w:pStyle w:val="ListParagraph"/>
        <w:ind w:left="1800" w:hanging="360"/>
        <w:rPr>
          <w:rFonts w:cs="Times New Roman"/>
          <w:szCs w:val="24"/>
        </w:rPr>
      </w:pPr>
      <w:bookmarkStart w:id="2" w:name="_Hlk18508561"/>
      <w:r>
        <w:rPr>
          <w:rFonts w:cs="Times New Roman"/>
          <w:szCs w:val="24"/>
        </w:rPr>
        <w:t>•</w:t>
      </w:r>
      <w:r>
        <w:rPr>
          <w:rFonts w:cs="Times New Roman"/>
          <w:szCs w:val="24"/>
        </w:rPr>
        <w:tab/>
        <w:t>Master control automation system logs (referencing the station);</w:t>
      </w:r>
    </w:p>
    <w:p w14:paraId="0E805AEB" w14:textId="77777777" w:rsidR="00B87928" w:rsidRDefault="00FD0262">
      <w:pPr>
        <w:pStyle w:val="ListParagraph"/>
        <w:numPr>
          <w:ilvl w:val="0"/>
          <w:numId w:val="9"/>
        </w:numPr>
        <w:ind w:left="1800"/>
        <w:rPr>
          <w:rFonts w:cs="Times New Roman"/>
          <w:szCs w:val="24"/>
        </w:rPr>
      </w:pPr>
      <w:r>
        <w:rPr>
          <w:rFonts w:cs="Times New Roman"/>
          <w:szCs w:val="24"/>
        </w:rPr>
        <w:t>Programming/operating logs, transmission logs (referencing the station);</w:t>
      </w:r>
    </w:p>
    <w:p w14:paraId="6E5D2573" w14:textId="77777777" w:rsidR="00B87928" w:rsidRDefault="00FD0262">
      <w:pPr>
        <w:pStyle w:val="ListParagraph"/>
        <w:ind w:left="1800" w:hanging="360"/>
        <w:rPr>
          <w:rFonts w:cs="Times New Roman"/>
          <w:szCs w:val="24"/>
        </w:rPr>
      </w:pPr>
      <w:r>
        <w:rPr>
          <w:rFonts w:cs="Times New Roman"/>
          <w:szCs w:val="24"/>
        </w:rPr>
        <w:t>•</w:t>
      </w:r>
      <w:r>
        <w:rPr>
          <w:rFonts w:cs="Times New Roman"/>
          <w:szCs w:val="24"/>
        </w:rPr>
        <w:tab/>
        <w:t xml:space="preserve">Commercial logs (referencing the station); </w:t>
      </w:r>
    </w:p>
    <w:p w14:paraId="52321624" w14:textId="77777777" w:rsidR="00B87928" w:rsidRDefault="00FD0262">
      <w:pPr>
        <w:pStyle w:val="ListParagraph"/>
        <w:ind w:left="1800" w:hanging="360"/>
        <w:rPr>
          <w:rFonts w:cs="Times New Roman"/>
          <w:szCs w:val="24"/>
        </w:rPr>
      </w:pPr>
      <w:r>
        <w:rPr>
          <w:rFonts w:cs="Times New Roman"/>
          <w:szCs w:val="24"/>
        </w:rPr>
        <w:t>•</w:t>
      </w:r>
      <w:r>
        <w:rPr>
          <w:rFonts w:cs="Times New Roman"/>
          <w:szCs w:val="24"/>
        </w:rPr>
        <w:tab/>
        <w:t>Program guides (referencing the station and including indication that the programs listed were aired);</w:t>
      </w:r>
    </w:p>
    <w:p w14:paraId="43B46E80" w14:textId="70934AB1" w:rsidR="00B87928" w:rsidRPr="006012D3" w:rsidRDefault="00FD0262" w:rsidP="006012D3">
      <w:pPr>
        <w:pStyle w:val="ListParagraph"/>
        <w:numPr>
          <w:ilvl w:val="0"/>
          <w:numId w:val="10"/>
        </w:numPr>
        <w:ind w:left="1800"/>
        <w:rPr>
          <w:rFonts w:cs="Times New Roman"/>
          <w:szCs w:val="24"/>
        </w:rPr>
      </w:pPr>
      <w:r w:rsidRPr="1A5C85BE">
        <w:rPr>
          <w:rFonts w:cs="Times New Roman"/>
          <w:szCs w:val="24"/>
        </w:rPr>
        <w:t>Tower/facility rental/leasing agreement (specifying site location</w:t>
      </w:r>
      <w:r w:rsidR="73A060E3" w:rsidRPr="1A5C85BE">
        <w:rPr>
          <w:rFonts w:cs="Times New Roman"/>
          <w:szCs w:val="24"/>
        </w:rPr>
        <w:t xml:space="preserve"> </w:t>
      </w:r>
      <w:r w:rsidR="0EA704B2" w:rsidRPr="1A5C85BE">
        <w:rPr>
          <w:rFonts w:cs="Times New Roman"/>
          <w:szCs w:val="24"/>
        </w:rPr>
        <w:t>and signed by all parties</w:t>
      </w:r>
      <w:r w:rsidRPr="1A5C85BE">
        <w:rPr>
          <w:rFonts w:cs="Times New Roman"/>
          <w:szCs w:val="24"/>
        </w:rPr>
        <w:t>);</w:t>
      </w:r>
      <w:r w:rsidR="00CC4250">
        <w:rPr>
          <w:rFonts w:cs="Times New Roman"/>
          <w:szCs w:val="24"/>
        </w:rPr>
        <w:t xml:space="preserve"> </w:t>
      </w:r>
      <w:r w:rsidR="1F72750E" w:rsidRPr="00014CD0">
        <w:rPr>
          <w:rFonts w:cs="Times New Roman"/>
          <w:szCs w:val="24"/>
        </w:rPr>
        <w:t>Re</w:t>
      </w:r>
      <w:r w:rsidR="006B5B60" w:rsidRPr="006012D3">
        <w:rPr>
          <w:rFonts w:cs="Times New Roman"/>
          <w:szCs w:val="24"/>
        </w:rPr>
        <w:t>b</w:t>
      </w:r>
      <w:r w:rsidRPr="006012D3">
        <w:rPr>
          <w:rFonts w:cs="Times New Roman"/>
          <w:szCs w:val="24"/>
        </w:rPr>
        <w:t>roadcast agreement;</w:t>
      </w:r>
    </w:p>
    <w:p w14:paraId="56EE92B0" w14:textId="1BA2391F" w:rsidR="00B87928" w:rsidRDefault="00FD0262">
      <w:pPr>
        <w:pStyle w:val="ListParagraph"/>
        <w:ind w:left="1800" w:hanging="360"/>
        <w:rPr>
          <w:rFonts w:cs="Times New Roman"/>
          <w:szCs w:val="24"/>
        </w:rPr>
      </w:pPr>
      <w:r>
        <w:rPr>
          <w:rFonts w:cs="Times New Roman"/>
          <w:szCs w:val="24"/>
        </w:rPr>
        <w:t>•</w:t>
      </w:r>
      <w:r>
        <w:rPr>
          <w:rFonts w:cs="Times New Roman"/>
          <w:szCs w:val="24"/>
        </w:rPr>
        <w:tab/>
        <w:t>Third-party affidavits or declarations (Examples might include advertisers, content providers, Electronic Program Guide (EPG) services, or, in the case of translators, associated stations.  The supplying third party should explicitly affirm the affiant’s/declarant’s first-hand knowledge of the station’s operations and that it met the minimum operating requirement</w:t>
      </w:r>
      <w:r w:rsidR="609D788C">
        <w:rPr>
          <w:rFonts w:cs="Times New Roman"/>
          <w:szCs w:val="24"/>
        </w:rPr>
        <w:t>,</w:t>
      </w:r>
      <w:r>
        <w:rPr>
          <w:rFonts w:cs="Times New Roman"/>
          <w:szCs w:val="24"/>
        </w:rPr>
        <w:t xml:space="preserve"> describe the affiant’s/declarant’s relationship to the station and the basis for his or her knowledge, and include a statement that no monetary or other compensation was received in exchange for the affidavit/declaration); </w:t>
      </w:r>
    </w:p>
    <w:p w14:paraId="3DDFD446" w14:textId="77777777" w:rsidR="00B87928" w:rsidRDefault="00FD0262">
      <w:pPr>
        <w:pStyle w:val="ListParagraph"/>
        <w:numPr>
          <w:ilvl w:val="0"/>
          <w:numId w:val="10"/>
        </w:numPr>
        <w:ind w:left="1800"/>
        <w:rPr>
          <w:rFonts w:cs="Times New Roman"/>
          <w:szCs w:val="24"/>
        </w:rPr>
      </w:pPr>
      <w:r>
        <w:rPr>
          <w:rFonts w:cs="Times New Roman"/>
          <w:szCs w:val="24"/>
        </w:rPr>
        <w:t>Electric bills (specifying site location);</w:t>
      </w:r>
    </w:p>
    <w:p w14:paraId="32E987A3" w14:textId="77777777" w:rsidR="00B87928" w:rsidRDefault="00FD0262">
      <w:pPr>
        <w:pStyle w:val="ListParagraph"/>
        <w:numPr>
          <w:ilvl w:val="0"/>
          <w:numId w:val="9"/>
        </w:numPr>
        <w:ind w:left="1800"/>
        <w:rPr>
          <w:rFonts w:cs="Times New Roman"/>
          <w:szCs w:val="24"/>
        </w:rPr>
      </w:pPr>
      <w:bookmarkStart w:id="3" w:name="_Hlk18563917"/>
      <w:r>
        <w:rPr>
          <w:rFonts w:cs="Times New Roman"/>
          <w:szCs w:val="24"/>
        </w:rPr>
        <w:t>The Commission will consider other forms of documentation on a case-by-case basis</w:t>
      </w:r>
      <w:bookmarkEnd w:id="3"/>
      <w:r>
        <w:rPr>
          <w:rFonts w:cs="Times New Roman"/>
          <w:szCs w:val="24"/>
        </w:rPr>
        <w:t>;</w:t>
      </w:r>
    </w:p>
    <w:bookmarkEnd w:id="2"/>
    <w:p w14:paraId="0E3B03D5" w14:textId="77777777" w:rsidR="00B87928" w:rsidRDefault="00FD0262">
      <w:pPr>
        <w:pStyle w:val="ListParagraph"/>
        <w:numPr>
          <w:ilvl w:val="0"/>
          <w:numId w:val="11"/>
        </w:numPr>
        <w:spacing w:after="160" w:line="254" w:lineRule="auto"/>
        <w:rPr>
          <w:rFonts w:cs="Times New Roman"/>
          <w:szCs w:val="24"/>
        </w:rPr>
      </w:pPr>
      <w:r>
        <w:rPr>
          <w:rFonts w:cs="Times New Roman"/>
          <w:szCs w:val="24"/>
        </w:rPr>
        <w:t>Information about the station’s existing broadcasting equipment; and</w:t>
      </w:r>
    </w:p>
    <w:p w14:paraId="54A83358" w14:textId="77777777" w:rsidR="00B87928" w:rsidRDefault="00FD0262">
      <w:pPr>
        <w:pStyle w:val="ListParagraph"/>
        <w:numPr>
          <w:ilvl w:val="0"/>
          <w:numId w:val="11"/>
        </w:numPr>
        <w:spacing w:after="160" w:line="254" w:lineRule="auto"/>
        <w:rPr>
          <w:rFonts w:cs="Times New Roman"/>
          <w:szCs w:val="24"/>
        </w:rPr>
      </w:pPr>
      <w:r>
        <w:rPr>
          <w:rFonts w:cs="Times New Roman"/>
          <w:szCs w:val="24"/>
        </w:rPr>
        <w:t>Estimates and/or actual cost documentation for eligible expense items.  You may use the Cost Catalog embedded in Schedule 399 for estimates.</w:t>
      </w:r>
    </w:p>
    <w:p w14:paraId="02545349" w14:textId="29925B5B" w:rsidR="00B87928" w:rsidRDefault="00FD0262" w:rsidP="00B5069C">
      <w:pPr>
        <w:spacing w:after="120"/>
      </w:pPr>
      <w:bookmarkStart w:id="4" w:name="_Hlk17185441"/>
      <w:r>
        <w:rPr>
          <w:rFonts w:cs="Times New Roman"/>
          <w:b/>
          <w:szCs w:val="24"/>
          <w:u w:val="single"/>
        </w:rPr>
        <w:t>Form 1876</w:t>
      </w:r>
      <w:r>
        <w:rPr>
          <w:rFonts w:cs="Times New Roman"/>
          <w:szCs w:val="24"/>
        </w:rPr>
        <w:t xml:space="preserve"> includes banking and payment instructions for each station.  The station must create an FCC Username Account in the FCC User Registration System.  The FCC Username Account must be associated with the entity’s FCC Registration Number (FRN).  Each FRN must have at least one FCC Registration Number Administrator (FRN Administrator).</w:t>
      </w:r>
      <w:r w:rsidR="00C1047A">
        <w:rPr>
          <w:rStyle w:val="FootnoteReference"/>
          <w:rFonts w:cs="Times New Roman"/>
          <w:szCs w:val="24"/>
        </w:rPr>
        <w:footnoteReference w:id="5"/>
      </w:r>
    </w:p>
    <w:p w14:paraId="05621FE2" w14:textId="77777777" w:rsidR="00B87928" w:rsidRPr="00B33374" w:rsidRDefault="00FD0262" w:rsidP="00B33374">
      <w:pPr>
        <w:pStyle w:val="ListParagraph"/>
        <w:numPr>
          <w:ilvl w:val="0"/>
          <w:numId w:val="25"/>
        </w:numPr>
        <w:spacing w:after="120"/>
        <w:rPr>
          <w:rFonts w:cs="Times New Roman"/>
          <w:szCs w:val="24"/>
        </w:rPr>
      </w:pPr>
      <w:bookmarkStart w:id="5" w:name="_Hlk17185412"/>
      <w:bookmarkEnd w:id="4"/>
      <w:r w:rsidRPr="00B33374">
        <w:rPr>
          <w:rFonts w:cs="Times New Roman"/>
          <w:szCs w:val="24"/>
        </w:rPr>
        <w:t xml:space="preserve">The FRN Administrator must log in to the CIAFM and enter all requested information.  The CIAFM will then generate a Form 1876 in PDF format for signature.  The CIAFM will not allow the Form 1876 to be printed unless all required fields are completed.  </w:t>
      </w:r>
    </w:p>
    <w:p w14:paraId="01648DA9" w14:textId="77777777" w:rsidR="00B87928" w:rsidRDefault="00FD0262" w:rsidP="00B33374">
      <w:pPr>
        <w:pStyle w:val="ListParagraph"/>
        <w:numPr>
          <w:ilvl w:val="0"/>
          <w:numId w:val="25"/>
        </w:numPr>
        <w:spacing w:after="120"/>
      </w:pPr>
      <w:r w:rsidRPr="00B33374">
        <w:rPr>
          <w:rFonts w:cs="Times New Roman"/>
          <w:szCs w:val="24"/>
        </w:rPr>
        <w:t xml:space="preserve">A person with authority to bind the station (e.g. a corporate officer or owner) must sign the completed, printed Form 1876, have it notarized, and </w:t>
      </w:r>
      <w:r w:rsidRPr="00B33374">
        <w:rPr>
          <w:rFonts w:cs="Times New Roman"/>
          <w:b/>
          <w:szCs w:val="24"/>
        </w:rPr>
        <w:t>mail the original signed and notarized Form 1876 to the Commission, together with a bank account verification letter or a redacted bank statement</w:t>
      </w:r>
      <w:r w:rsidRPr="00B33374">
        <w:rPr>
          <w:rFonts w:cs="Times New Roman"/>
          <w:szCs w:val="24"/>
        </w:rPr>
        <w:t xml:space="preserve"> (dated within six months of the signature on the </w:t>
      </w:r>
      <w:r w:rsidRPr="00B33374">
        <w:rPr>
          <w:rFonts w:cs="Times New Roman"/>
          <w:szCs w:val="24"/>
        </w:rPr>
        <w:lastRenderedPageBreak/>
        <w:t xml:space="preserve">Form 1876) that confirms ownership of the account for each FIN/File Number receiving reimbursement.  </w:t>
      </w:r>
    </w:p>
    <w:p w14:paraId="7A3DA30B" w14:textId="4127C4C8" w:rsidR="00C1047A" w:rsidRPr="00B33374" w:rsidRDefault="00FD0262" w:rsidP="00B33374">
      <w:pPr>
        <w:pStyle w:val="ListParagraph"/>
        <w:numPr>
          <w:ilvl w:val="0"/>
          <w:numId w:val="25"/>
        </w:numPr>
        <w:spacing w:after="120"/>
        <w:rPr>
          <w:rFonts w:cs="Times New Roman"/>
          <w:szCs w:val="24"/>
        </w:rPr>
      </w:pPr>
      <w:r w:rsidRPr="00B33374">
        <w:rPr>
          <w:rFonts w:cs="Times New Roman"/>
          <w:szCs w:val="24"/>
        </w:rPr>
        <w:t>After FCC staff has determined that all required information has been provided on the Form 1876, an email notification will be sent to the station stating that the station has 10 business days to review and verify bank account information for that FIN/File Number in the CIAFM.  If the information is incorrect, the station must submit a new Form 1876.No reimbursement payment will be made if the bank account information in the CIAFM is not verified.</w:t>
      </w:r>
    </w:p>
    <w:p w14:paraId="23ED8EA4" w14:textId="2DB4FC88" w:rsidR="00C1047A" w:rsidRDefault="00C1047A" w:rsidP="00C1047A">
      <w:pPr>
        <w:spacing w:line="254" w:lineRule="auto"/>
        <w:rPr>
          <w:rFonts w:cs="Times New Roman"/>
          <w:szCs w:val="24"/>
        </w:rPr>
      </w:pPr>
      <w:r>
        <w:rPr>
          <w:rFonts w:cs="Times New Roman"/>
          <w:szCs w:val="24"/>
        </w:rPr>
        <w:t>If you have any questions regarding the Form 1876 process, contact the FCC CORES Help Desk via:</w:t>
      </w:r>
    </w:p>
    <w:p w14:paraId="292C835E" w14:textId="1497AB77" w:rsidR="00C1047A" w:rsidRDefault="00C1047A" w:rsidP="00C1047A">
      <w:pPr>
        <w:pStyle w:val="ListParagraph"/>
        <w:numPr>
          <w:ilvl w:val="0"/>
          <w:numId w:val="21"/>
        </w:numPr>
        <w:spacing w:line="254" w:lineRule="auto"/>
        <w:rPr>
          <w:rFonts w:cs="Times New Roman"/>
          <w:szCs w:val="24"/>
        </w:rPr>
      </w:pPr>
      <w:r>
        <w:rPr>
          <w:rFonts w:cs="Times New Roman"/>
          <w:szCs w:val="24"/>
        </w:rPr>
        <w:t xml:space="preserve">Email </w:t>
      </w:r>
      <w:hyperlink r:id="rId11" w:history="1">
        <w:r w:rsidRPr="00040915">
          <w:rPr>
            <w:rStyle w:val="Hyperlink"/>
            <w:rFonts w:cs="Times New Roman"/>
            <w:szCs w:val="24"/>
          </w:rPr>
          <w:t>CORESHelpDesk@FCC.gov</w:t>
        </w:r>
      </w:hyperlink>
    </w:p>
    <w:p w14:paraId="77A8BA6A" w14:textId="17CCCDA0" w:rsidR="00C1047A" w:rsidRPr="00B5069C" w:rsidRDefault="00C1047A" w:rsidP="00B5069C">
      <w:pPr>
        <w:pStyle w:val="ListParagraph"/>
        <w:numPr>
          <w:ilvl w:val="0"/>
          <w:numId w:val="21"/>
        </w:numPr>
        <w:spacing w:line="254" w:lineRule="auto"/>
        <w:rPr>
          <w:rFonts w:cs="Times New Roman"/>
          <w:szCs w:val="24"/>
        </w:rPr>
      </w:pPr>
      <w:r w:rsidRPr="00B5069C">
        <w:rPr>
          <w:rFonts w:cs="Times New Roman"/>
          <w:szCs w:val="24"/>
        </w:rPr>
        <w:t>CORES System Hotline: (202) 418-4120</w:t>
      </w:r>
    </w:p>
    <w:p w14:paraId="5919C985" w14:textId="26293278" w:rsidR="00882B21" w:rsidRPr="00F75D11" w:rsidRDefault="00882B21" w:rsidP="00882B21">
      <w:pPr>
        <w:pStyle w:val="Heading3"/>
        <w:rPr>
          <w:rFonts w:eastAsia="Calibri" w:cs="Times New Roman"/>
          <w:b w:val="0"/>
          <w:i w:val="0"/>
          <w:color w:val="auto"/>
        </w:rPr>
      </w:pPr>
    </w:p>
    <w:p w14:paraId="6906A6B3" w14:textId="77777777" w:rsidR="00B87928" w:rsidRDefault="00FD0262" w:rsidP="006012D3">
      <w:pPr>
        <w:pStyle w:val="Heading3"/>
      </w:pPr>
      <w:r>
        <w:t>Must the Licensee of an LPTV/Translator station complete a new Form 1876 if the Licensee already has an 1876 on file with the Commission?</w:t>
      </w:r>
    </w:p>
    <w:p w14:paraId="7EE4CD9C" w14:textId="0DCFE916" w:rsidR="00756F34" w:rsidRPr="00A90C18" w:rsidRDefault="00FD0262" w:rsidP="00756F34">
      <w:pPr>
        <w:autoSpaceDE w:val="0"/>
        <w:spacing w:before="40" w:after="40"/>
        <w:rPr>
          <w:rFonts w:cs="Times New Roman"/>
          <w:szCs w:val="24"/>
        </w:rPr>
      </w:pPr>
      <w:r w:rsidRPr="03488535">
        <w:rPr>
          <w:rFonts w:cs="Times New Roman"/>
          <w:szCs w:val="24"/>
        </w:rPr>
        <w:t xml:space="preserve">Yes.  Each eligible entity will have to submit a Form 1876 and follow the procedures outlined in the LPTV/Translator/FM Banking PN to receive reimbursement payments.  The Commission Registration System (CORES) Incentive Auction Financial Module (CIAFM) creates a separate reimbursement account for each eligible entity based on an eligible station’s facility identification number (FIN) and FCC registration number (FRN). </w:t>
      </w:r>
      <w:r w:rsidR="00756F34">
        <w:rPr>
          <w:rFonts w:cs="Times New Roman"/>
          <w:szCs w:val="24"/>
        </w:rPr>
        <w:t>For</w:t>
      </w:r>
      <w:r w:rsidR="00756F34" w:rsidRPr="00D81EC5">
        <w:rPr>
          <w:rFonts w:cs="Times New Roman"/>
          <w:szCs w:val="24"/>
        </w:rPr>
        <w:t xml:space="preserve"> Digit</w:t>
      </w:r>
      <w:r w:rsidR="00756F34" w:rsidRPr="003561DE">
        <w:rPr>
          <w:rFonts w:cs="Times New Roman"/>
          <w:szCs w:val="24"/>
        </w:rPr>
        <w:t>al Replacement Translator</w:t>
      </w:r>
      <w:r w:rsidR="00756F34">
        <w:rPr>
          <w:rFonts w:cs="Times New Roman"/>
          <w:szCs w:val="24"/>
        </w:rPr>
        <w:t>s</w:t>
      </w:r>
      <w:r w:rsidR="00756F34" w:rsidRPr="003561DE">
        <w:rPr>
          <w:rFonts w:cs="Times New Roman"/>
          <w:szCs w:val="24"/>
        </w:rPr>
        <w:t xml:space="preserve"> (DRT</w:t>
      </w:r>
      <w:r w:rsidR="00756F34">
        <w:rPr>
          <w:rFonts w:cs="Times New Roman"/>
          <w:szCs w:val="24"/>
        </w:rPr>
        <w:t>s</w:t>
      </w:r>
      <w:r w:rsidR="00756F34" w:rsidRPr="003561DE">
        <w:rPr>
          <w:rFonts w:cs="Times New Roman"/>
          <w:szCs w:val="24"/>
        </w:rPr>
        <w:t xml:space="preserve">), </w:t>
      </w:r>
      <w:r w:rsidR="00756F34">
        <w:rPr>
          <w:rFonts w:cs="Times New Roman"/>
          <w:szCs w:val="24"/>
        </w:rPr>
        <w:t>the</w:t>
      </w:r>
      <w:r w:rsidR="00756F34" w:rsidRPr="003561DE">
        <w:rPr>
          <w:rFonts w:cs="Times New Roman"/>
          <w:szCs w:val="24"/>
        </w:rPr>
        <w:t xml:space="preserve"> facility ID </w:t>
      </w:r>
      <w:r w:rsidR="00756F34">
        <w:rPr>
          <w:rFonts w:cs="Times New Roman"/>
          <w:szCs w:val="24"/>
        </w:rPr>
        <w:t xml:space="preserve">may </w:t>
      </w:r>
      <w:r w:rsidR="00756F34" w:rsidRPr="003561DE">
        <w:rPr>
          <w:rFonts w:cs="Times New Roman"/>
          <w:szCs w:val="24"/>
        </w:rPr>
        <w:t xml:space="preserve">already exist for the main station </w:t>
      </w:r>
      <w:r w:rsidR="00756F34">
        <w:rPr>
          <w:rFonts w:cs="Times New Roman"/>
          <w:szCs w:val="24"/>
        </w:rPr>
        <w:t xml:space="preserve">or additional DRTs, </w:t>
      </w:r>
      <w:r w:rsidR="00756F34" w:rsidRPr="003561DE">
        <w:rPr>
          <w:rFonts w:cs="Times New Roman"/>
          <w:szCs w:val="24"/>
        </w:rPr>
        <w:t>and, therefore, has been modified for reimbursement purposes to reflect your facility ID</w:t>
      </w:r>
      <w:r w:rsidR="00756F34">
        <w:rPr>
          <w:rFonts w:cs="Times New Roman"/>
          <w:szCs w:val="24"/>
        </w:rPr>
        <w:t>, the prior</w:t>
      </w:r>
      <w:r w:rsidR="00756F34" w:rsidRPr="003561DE">
        <w:rPr>
          <w:rFonts w:cs="Times New Roman"/>
          <w:szCs w:val="24"/>
        </w:rPr>
        <w:t xml:space="preserve"> licensed channel number</w:t>
      </w:r>
      <w:r w:rsidR="00756F34">
        <w:rPr>
          <w:rFonts w:cs="Times New Roman"/>
          <w:szCs w:val="24"/>
        </w:rPr>
        <w:t>, and in certain circumstances, the last 5 digits of the existing license file number</w:t>
      </w:r>
      <w:r w:rsidR="00756F34" w:rsidRPr="003561DE">
        <w:rPr>
          <w:rFonts w:cs="Times New Roman"/>
          <w:szCs w:val="24"/>
        </w:rPr>
        <w:t>.</w:t>
      </w:r>
      <w:r w:rsidR="00756F34">
        <w:rPr>
          <w:rFonts w:cs="Times New Roman"/>
          <w:szCs w:val="24"/>
        </w:rPr>
        <w:t xml:space="preserve">  </w:t>
      </w:r>
      <w:r w:rsidR="00756F34" w:rsidRPr="00D81EC5">
        <w:rPr>
          <w:rFonts w:cs="Times New Roman"/>
          <w:szCs w:val="24"/>
        </w:rPr>
        <w:t xml:space="preserve">If your station had to use the special </w:t>
      </w:r>
      <w:r w:rsidR="00756F34">
        <w:rPr>
          <w:rFonts w:cs="Times New Roman"/>
          <w:szCs w:val="24"/>
        </w:rPr>
        <w:t>FIN</w:t>
      </w:r>
      <w:r w:rsidR="00756F34" w:rsidRPr="00D81EC5">
        <w:rPr>
          <w:rFonts w:cs="Times New Roman"/>
          <w:szCs w:val="24"/>
        </w:rPr>
        <w:t xml:space="preserve"> configuration</w:t>
      </w:r>
      <w:r w:rsidR="00756F34" w:rsidRPr="006012D3">
        <w:rPr>
          <w:rFonts w:cs="Times New Roman"/>
          <w:color w:val="000000"/>
          <w:szCs w:val="24"/>
        </w:rPr>
        <w:t xml:space="preserve">, note your </w:t>
      </w:r>
      <w:r w:rsidR="00756F34">
        <w:rPr>
          <w:rFonts w:cs="Times New Roman"/>
          <w:color w:val="000000"/>
          <w:szCs w:val="24"/>
        </w:rPr>
        <w:t xml:space="preserve">modified </w:t>
      </w:r>
      <w:r w:rsidR="00756F34" w:rsidRPr="006012D3">
        <w:rPr>
          <w:rFonts w:cs="Times New Roman"/>
          <w:color w:val="000000"/>
          <w:szCs w:val="24"/>
        </w:rPr>
        <w:t xml:space="preserve">Facility ID </w:t>
      </w:r>
      <w:r w:rsidR="00756F34">
        <w:rPr>
          <w:rFonts w:cs="Times New Roman"/>
          <w:color w:val="000000"/>
          <w:szCs w:val="24"/>
        </w:rPr>
        <w:t>is displayed in the header of the eligibility and reimbursement forms, and within the CIAFM, but not in general LMS searches or non-reimbursement filings</w:t>
      </w:r>
      <w:r w:rsidR="00756F34" w:rsidRPr="006012D3">
        <w:rPr>
          <w:rFonts w:cs="Times New Roman"/>
          <w:color w:val="000000"/>
          <w:szCs w:val="24"/>
        </w:rPr>
        <w:t xml:space="preserve">. </w:t>
      </w:r>
      <w:r w:rsidR="00756F34" w:rsidRPr="00D81EC5">
        <w:rPr>
          <w:rFonts w:cs="Times New Roman"/>
          <w:szCs w:val="24"/>
        </w:rPr>
        <w:t xml:space="preserve"> </w:t>
      </w:r>
      <w:r w:rsidR="00756F34" w:rsidRPr="003561DE">
        <w:rPr>
          <w:rFonts w:cs="Times New Roman"/>
          <w:szCs w:val="24"/>
        </w:rPr>
        <w:t xml:space="preserve"> </w:t>
      </w:r>
    </w:p>
    <w:p w14:paraId="1D335196" w14:textId="39761A7A" w:rsidR="00B87928" w:rsidRDefault="00FD0262" w:rsidP="00756F34">
      <w:pPr>
        <w:autoSpaceDE w:val="0"/>
        <w:spacing w:before="40" w:after="40"/>
        <w:rPr>
          <w:rFonts w:cs="Times New Roman"/>
          <w:szCs w:val="24"/>
        </w:rPr>
      </w:pPr>
      <w:r w:rsidRPr="03488535">
        <w:rPr>
          <w:rFonts w:cs="Times New Roman"/>
          <w:szCs w:val="24"/>
        </w:rPr>
        <w:t xml:space="preserve"> </w:t>
      </w:r>
    </w:p>
    <w:p w14:paraId="657725EF" w14:textId="3BF9A538" w:rsidR="00B87928" w:rsidRDefault="00FD0262" w:rsidP="006F47DA">
      <w:pPr>
        <w:pStyle w:val="Heading3"/>
        <w:spacing w:before="0"/>
      </w:pPr>
      <w:r>
        <w:t>What is the Reimbursement Fund claims process for LPTV/translator stations?</w:t>
      </w:r>
      <w:r w:rsidR="00DB3F2F">
        <w:rPr>
          <w:rStyle w:val="FootnoteReference"/>
          <w:b w:val="0"/>
          <w:i w:val="0"/>
        </w:rPr>
        <w:footnoteReference w:id="6"/>
      </w:r>
    </w:p>
    <w:p w14:paraId="1DC81BEE" w14:textId="2D2AFBAC" w:rsidR="00B87928" w:rsidRDefault="00FD0262" w:rsidP="00DB3F2F">
      <w:pPr>
        <w:pStyle w:val="ListParagraph"/>
        <w:numPr>
          <w:ilvl w:val="0"/>
          <w:numId w:val="12"/>
        </w:numPr>
        <w:spacing w:line="254" w:lineRule="auto"/>
      </w:pPr>
      <w:r>
        <w:rPr>
          <w:rFonts w:cs="Times New Roman"/>
          <w:szCs w:val="24"/>
        </w:rPr>
        <w:t>Submit Eligibility Certification using Form 399 in LMS.</w:t>
      </w:r>
    </w:p>
    <w:p w14:paraId="237D5DBA" w14:textId="5024D343" w:rsidR="00B87928" w:rsidRDefault="00FD0262" w:rsidP="00870A36">
      <w:pPr>
        <w:pStyle w:val="ListParagraph"/>
        <w:numPr>
          <w:ilvl w:val="0"/>
          <w:numId w:val="12"/>
        </w:numPr>
        <w:spacing w:line="254" w:lineRule="auto"/>
      </w:pPr>
      <w:r>
        <w:rPr>
          <w:rFonts w:cs="Times New Roman"/>
          <w:szCs w:val="24"/>
        </w:rPr>
        <w:t>Submit estimates and/or invoices for incurred expenses using Form 399 in LMS.</w:t>
      </w:r>
    </w:p>
    <w:p w14:paraId="6008881A" w14:textId="77777777" w:rsidR="00B87928" w:rsidRDefault="00FD0262" w:rsidP="006012D3">
      <w:pPr>
        <w:pStyle w:val="ListParagraph"/>
        <w:numPr>
          <w:ilvl w:val="0"/>
          <w:numId w:val="12"/>
        </w:numPr>
        <w:spacing w:line="254" w:lineRule="auto"/>
        <w:rPr>
          <w:rFonts w:cs="Times New Roman"/>
          <w:szCs w:val="24"/>
        </w:rPr>
      </w:pPr>
      <w:r>
        <w:rPr>
          <w:rFonts w:cs="Times New Roman"/>
          <w:szCs w:val="24"/>
        </w:rPr>
        <w:t>Submit banking information in CIAFM, mail in the signed, notarized 1876, and confirm account information in CIAFM after receiving direction to do so from Commission staff.</w:t>
      </w:r>
    </w:p>
    <w:p w14:paraId="1822BE7A" w14:textId="77777777" w:rsidR="00B87928" w:rsidRDefault="00FD0262" w:rsidP="006012D3">
      <w:pPr>
        <w:pStyle w:val="ListParagraph"/>
        <w:numPr>
          <w:ilvl w:val="0"/>
          <w:numId w:val="12"/>
        </w:numPr>
        <w:spacing w:line="254" w:lineRule="auto"/>
        <w:rPr>
          <w:rFonts w:cs="Times New Roman"/>
          <w:szCs w:val="24"/>
        </w:rPr>
      </w:pPr>
      <w:r>
        <w:rPr>
          <w:rFonts w:cs="Times New Roman"/>
          <w:szCs w:val="24"/>
        </w:rPr>
        <w:t>Receive an allocation from the Commission, viewable in CIAFM.</w:t>
      </w:r>
    </w:p>
    <w:p w14:paraId="2A71D959" w14:textId="77777777" w:rsidR="00B87928" w:rsidRDefault="00FD0262" w:rsidP="006012D3">
      <w:pPr>
        <w:pStyle w:val="ListParagraph"/>
        <w:numPr>
          <w:ilvl w:val="0"/>
          <w:numId w:val="12"/>
        </w:numPr>
        <w:spacing w:line="254" w:lineRule="auto"/>
        <w:rPr>
          <w:rFonts w:cs="Times New Roman"/>
          <w:szCs w:val="24"/>
        </w:rPr>
      </w:pPr>
      <w:r>
        <w:rPr>
          <w:rFonts w:cs="Times New Roman"/>
          <w:szCs w:val="24"/>
        </w:rPr>
        <w:t>Submit additional invoices for incurred expenses using Form 399 in LMS, as necessary.</w:t>
      </w:r>
    </w:p>
    <w:p w14:paraId="35BF4C60" w14:textId="77777777" w:rsidR="00B87928" w:rsidRDefault="00FD0262" w:rsidP="006012D3">
      <w:pPr>
        <w:pStyle w:val="ListParagraph"/>
        <w:numPr>
          <w:ilvl w:val="0"/>
          <w:numId w:val="12"/>
        </w:numPr>
        <w:spacing w:line="254" w:lineRule="auto"/>
        <w:rPr>
          <w:rFonts w:cs="Times New Roman"/>
          <w:szCs w:val="24"/>
        </w:rPr>
      </w:pPr>
      <w:r>
        <w:rPr>
          <w:rFonts w:cs="Times New Roman"/>
          <w:szCs w:val="24"/>
        </w:rPr>
        <w:t>Respond to Requests for Information (RFI) (if the FCC or its Fund Administrator needs more information in order to process an eligibility certification or a payment request, you will receive an RFI via email).</w:t>
      </w:r>
    </w:p>
    <w:p w14:paraId="3893D8DD" w14:textId="77777777" w:rsidR="00B87928" w:rsidRDefault="00FD0262" w:rsidP="006012D3">
      <w:pPr>
        <w:pStyle w:val="ListParagraph"/>
        <w:numPr>
          <w:ilvl w:val="0"/>
          <w:numId w:val="12"/>
        </w:numPr>
        <w:spacing w:line="254" w:lineRule="auto"/>
        <w:rPr>
          <w:rFonts w:cs="Times New Roman"/>
          <w:szCs w:val="24"/>
        </w:rPr>
      </w:pPr>
      <w:r>
        <w:rPr>
          <w:rFonts w:cs="Times New Roman"/>
          <w:szCs w:val="24"/>
        </w:rPr>
        <w:t>Receive electronic payment(s).</w:t>
      </w:r>
    </w:p>
    <w:p w14:paraId="37CBE238" w14:textId="77777777" w:rsidR="00B87928" w:rsidRDefault="00FD0262" w:rsidP="006012D3">
      <w:pPr>
        <w:pStyle w:val="ListParagraph"/>
        <w:numPr>
          <w:ilvl w:val="0"/>
          <w:numId w:val="12"/>
        </w:numPr>
        <w:spacing w:line="254" w:lineRule="auto"/>
        <w:rPr>
          <w:rFonts w:cs="Times New Roman"/>
          <w:szCs w:val="24"/>
        </w:rPr>
      </w:pPr>
      <w:r>
        <w:rPr>
          <w:rFonts w:cs="Times New Roman"/>
          <w:szCs w:val="24"/>
        </w:rPr>
        <w:lastRenderedPageBreak/>
        <w:t xml:space="preserve">Close out your project when complete using Form 399 in LMS.  You must submit a final Form 399 to notify the Commission that you have submitted all requests for reimbursement and associated supporting documentation. </w:t>
      </w:r>
    </w:p>
    <w:p w14:paraId="141D0AD5" w14:textId="77777777" w:rsidR="00B87928" w:rsidRDefault="00FD0262" w:rsidP="006012D3">
      <w:pPr>
        <w:pStyle w:val="ListParagraph"/>
        <w:numPr>
          <w:ilvl w:val="0"/>
          <w:numId w:val="12"/>
        </w:numPr>
        <w:spacing w:line="254" w:lineRule="auto"/>
        <w:rPr>
          <w:rFonts w:cs="Times New Roman"/>
          <w:szCs w:val="24"/>
        </w:rPr>
      </w:pPr>
      <w:r>
        <w:rPr>
          <w:rFonts w:cs="Times New Roman"/>
          <w:szCs w:val="24"/>
        </w:rPr>
        <w:t xml:space="preserve">Receive a financial reconciliation statement that specifies verified, estimated amounts; allocated amounts; amounts requested for reimbursement; and amounts disbursed by the Commission. </w:t>
      </w:r>
    </w:p>
    <w:p w14:paraId="57EC8B2B" w14:textId="77777777" w:rsidR="00B87928" w:rsidRDefault="00FD0262" w:rsidP="006012D3">
      <w:pPr>
        <w:pStyle w:val="ListParagraph"/>
        <w:numPr>
          <w:ilvl w:val="0"/>
          <w:numId w:val="12"/>
        </w:numPr>
        <w:spacing w:line="254" w:lineRule="auto"/>
        <w:rPr>
          <w:rFonts w:cs="Times New Roman"/>
          <w:szCs w:val="24"/>
        </w:rPr>
      </w:pPr>
      <w:r>
        <w:rPr>
          <w:rFonts w:cs="Times New Roman"/>
          <w:szCs w:val="24"/>
        </w:rPr>
        <w:t>The final account close-out for each entity will occur no later than July 3, 2023.</w:t>
      </w:r>
    </w:p>
    <w:p w14:paraId="54A4EE4E" w14:textId="77777777" w:rsidR="00B87928" w:rsidRDefault="00FD0262" w:rsidP="00882B21">
      <w:pPr>
        <w:pStyle w:val="Heading1"/>
        <w:rPr>
          <w:rStyle w:val="Heading1Char"/>
          <w:rFonts w:ascii="Times New Roman" w:hAnsi="Times New Roman"/>
          <w:color w:val="auto"/>
          <w:sz w:val="28"/>
          <w:szCs w:val="28"/>
        </w:rPr>
      </w:pPr>
      <w:bookmarkStart w:id="6" w:name="_Toc38456178"/>
      <w:bookmarkEnd w:id="5"/>
      <w:r>
        <w:rPr>
          <w:rStyle w:val="Heading1Char"/>
          <w:rFonts w:ascii="Times New Roman" w:hAnsi="Times New Roman"/>
          <w:color w:val="auto"/>
          <w:sz w:val="28"/>
          <w:szCs w:val="28"/>
        </w:rPr>
        <w:t>Reimbursement Eligibility</w:t>
      </w:r>
      <w:bookmarkEnd w:id="6"/>
    </w:p>
    <w:p w14:paraId="485DF88A" w14:textId="77777777" w:rsidR="00882B21" w:rsidRPr="00A90C18" w:rsidRDefault="00882B21" w:rsidP="006012D3"/>
    <w:p w14:paraId="74ABDBF2" w14:textId="77777777" w:rsidR="00B87928" w:rsidRDefault="00FD0262" w:rsidP="006012D3">
      <w:pPr>
        <w:pStyle w:val="Heading3"/>
      </w:pPr>
      <w:r>
        <w:t>What is the Reimbursement Act (REA)?</w:t>
      </w:r>
    </w:p>
    <w:p w14:paraId="47BB1200" w14:textId="77777777" w:rsidR="00B87928" w:rsidRDefault="00FD0262">
      <w:r>
        <w:rPr>
          <w:rFonts w:cs="Times New Roman"/>
          <w:szCs w:val="24"/>
        </w:rPr>
        <w:t xml:space="preserve">In March 2018, Congress adopted the REA, which provides additional funding for the TV Broadcaster Relocation Fund (Reimbursement Fund).  The REA also directs the FCC to reimburse costs reasonably incurred by an eligible LPTV/translator station </w:t>
      </w:r>
      <w:bookmarkStart w:id="7" w:name="_Hlk17114095"/>
      <w:r>
        <w:rPr>
          <w:rFonts w:cs="Times New Roman"/>
          <w:szCs w:val="24"/>
        </w:rPr>
        <w:t>to relocate its television service from one channel to another channel or otherwise modify its facilities as a result of displacement due to the reorganization of broadcast television spectrum</w:t>
      </w:r>
      <w:bookmarkEnd w:id="7"/>
      <w:r>
        <w:rPr>
          <w:rFonts w:cs="Times New Roman"/>
          <w:szCs w:val="24"/>
        </w:rPr>
        <w:t xml:space="preserve">. </w:t>
      </w:r>
    </w:p>
    <w:p w14:paraId="59D8F842" w14:textId="77777777" w:rsidR="00B87928" w:rsidRDefault="00FD0262" w:rsidP="006012D3">
      <w:pPr>
        <w:pStyle w:val="Heading3"/>
      </w:pPr>
      <w:r>
        <w:br/>
        <w:t>What LPTV/translator stations are eligible for reimbursement?</w:t>
      </w:r>
    </w:p>
    <w:p w14:paraId="195157DC" w14:textId="77777777" w:rsidR="00B87928" w:rsidRDefault="00FD0262">
      <w:pPr>
        <w:rPr>
          <w:rFonts w:cs="Times New Roman"/>
          <w:szCs w:val="24"/>
        </w:rPr>
      </w:pPr>
      <w:r>
        <w:rPr>
          <w:rFonts w:cs="Times New Roman"/>
          <w:szCs w:val="24"/>
        </w:rPr>
        <w:t>Low power television (LPTV) and television translator (TV translator) stations (together LPTV/translator stations) that were displaced by the post-incentive auction repacking process and satisfy all of the following criteria:</w:t>
      </w:r>
    </w:p>
    <w:p w14:paraId="7CEA75A3" w14:textId="77777777" w:rsidR="00B87928" w:rsidRDefault="00FD0262">
      <w:pPr>
        <w:pStyle w:val="ListParagraph"/>
        <w:numPr>
          <w:ilvl w:val="0"/>
          <w:numId w:val="12"/>
        </w:numPr>
        <w:spacing w:after="160" w:line="254" w:lineRule="auto"/>
        <w:rPr>
          <w:rFonts w:cs="Times New Roman"/>
          <w:szCs w:val="24"/>
        </w:rPr>
      </w:pPr>
      <w:r>
        <w:rPr>
          <w:rFonts w:cs="Times New Roman"/>
          <w:szCs w:val="24"/>
        </w:rPr>
        <w:t>Station filed an application during the Commission’s Special Displacement Window (April 10, 2018—June 1, 2018);</w:t>
      </w:r>
    </w:p>
    <w:p w14:paraId="74C81C20" w14:textId="77777777" w:rsidR="00B87928" w:rsidRDefault="00FD0262">
      <w:pPr>
        <w:pStyle w:val="ListParagraph"/>
        <w:numPr>
          <w:ilvl w:val="0"/>
          <w:numId w:val="12"/>
        </w:numPr>
        <w:spacing w:after="160" w:line="254" w:lineRule="auto"/>
        <w:rPr>
          <w:rFonts w:cs="Times New Roman"/>
          <w:szCs w:val="24"/>
        </w:rPr>
      </w:pPr>
      <w:r>
        <w:rPr>
          <w:rFonts w:cs="Times New Roman"/>
          <w:szCs w:val="24"/>
        </w:rPr>
        <w:t xml:space="preserve">Station obtained construction permit following the Commission’s Special Displacement Window (April 10, 2018—June 1, 2018); </w:t>
      </w:r>
    </w:p>
    <w:p w14:paraId="365B0A12" w14:textId="77777777" w:rsidR="00B87928" w:rsidRDefault="00FD0262">
      <w:pPr>
        <w:pStyle w:val="ListParagraph"/>
        <w:numPr>
          <w:ilvl w:val="0"/>
          <w:numId w:val="12"/>
        </w:numPr>
        <w:spacing w:after="160" w:line="254" w:lineRule="auto"/>
        <w:rPr>
          <w:rFonts w:cs="Times New Roman"/>
          <w:szCs w:val="24"/>
        </w:rPr>
      </w:pPr>
      <w:r>
        <w:rPr>
          <w:rFonts w:cs="Times New Roman"/>
          <w:szCs w:val="24"/>
        </w:rPr>
        <w:t>Station was licensed or had a pending application for license (FCC Form 2100 Schedule D) prior to April 13, 2017;</w:t>
      </w:r>
    </w:p>
    <w:p w14:paraId="3C97AA51" w14:textId="77777777" w:rsidR="00B87928" w:rsidRDefault="00FD0262">
      <w:pPr>
        <w:pStyle w:val="ListParagraph"/>
        <w:numPr>
          <w:ilvl w:val="0"/>
          <w:numId w:val="12"/>
        </w:numPr>
        <w:spacing w:after="160" w:line="254" w:lineRule="auto"/>
        <w:rPr>
          <w:rFonts w:cs="Times New Roman"/>
          <w:szCs w:val="24"/>
        </w:rPr>
      </w:pPr>
      <w:r>
        <w:rPr>
          <w:rFonts w:cs="Times New Roman"/>
          <w:szCs w:val="24"/>
        </w:rPr>
        <w:t>Station was transmitting for at least 9 of 12 months between April 12, 2016 and April 13, 2017, and for at least two hours per day, and not less than 28 hours per calendar week;</w:t>
      </w:r>
    </w:p>
    <w:p w14:paraId="2412A640" w14:textId="77777777" w:rsidR="00B87928" w:rsidRDefault="00FD0262">
      <w:pPr>
        <w:pStyle w:val="ListParagraph"/>
        <w:numPr>
          <w:ilvl w:val="0"/>
          <w:numId w:val="12"/>
        </w:numPr>
        <w:spacing w:after="160" w:line="254" w:lineRule="auto"/>
        <w:rPr>
          <w:rFonts w:cs="Times New Roman"/>
          <w:szCs w:val="24"/>
        </w:rPr>
      </w:pPr>
      <w:r>
        <w:rPr>
          <w:rFonts w:cs="Times New Roman"/>
          <w:szCs w:val="24"/>
        </w:rPr>
        <w:t>Station incurred costs because of the post-incentive auction broadcast transition; and</w:t>
      </w:r>
    </w:p>
    <w:p w14:paraId="7551F8E3" w14:textId="77777777" w:rsidR="00B87928" w:rsidRDefault="00FD0262">
      <w:pPr>
        <w:pStyle w:val="ListParagraph"/>
        <w:numPr>
          <w:ilvl w:val="0"/>
          <w:numId w:val="12"/>
        </w:numPr>
        <w:spacing w:after="160" w:line="254" w:lineRule="auto"/>
        <w:rPr>
          <w:rFonts w:cs="Times New Roman"/>
          <w:szCs w:val="24"/>
        </w:rPr>
      </w:pPr>
      <w:r>
        <w:rPr>
          <w:rFonts w:cs="Times New Roman"/>
          <w:szCs w:val="24"/>
        </w:rPr>
        <w:t xml:space="preserve">Station was not and will not be reimbursed for costs by another entity. </w:t>
      </w:r>
    </w:p>
    <w:p w14:paraId="366AAB65" w14:textId="5574270D" w:rsidR="00B87928" w:rsidRDefault="00FD0262" w:rsidP="03488535">
      <w:pPr>
        <w:rPr>
          <w:rFonts w:cs="Times New Roman"/>
          <w:szCs w:val="24"/>
        </w:rPr>
      </w:pPr>
      <w:r w:rsidRPr="006012D3">
        <w:rPr>
          <w:rStyle w:val="Heading3Char"/>
        </w:rPr>
        <w:t xml:space="preserve">When is the Eligibility Certification due? </w:t>
      </w:r>
      <w:r w:rsidRPr="006012D3">
        <w:rPr>
          <w:rStyle w:val="Heading3Char"/>
        </w:rPr>
        <w:br/>
      </w:r>
      <w:r>
        <w:rPr>
          <w:rFonts w:cs="Times New Roman"/>
          <w:szCs w:val="24"/>
        </w:rPr>
        <w:t xml:space="preserve">The Eligibility Certification </w:t>
      </w:r>
      <w:r w:rsidR="4D89B3B0">
        <w:rPr>
          <w:rFonts w:cs="Times New Roman"/>
          <w:szCs w:val="24"/>
        </w:rPr>
        <w:t>was</w:t>
      </w:r>
      <w:r>
        <w:rPr>
          <w:rFonts w:cs="Times New Roman"/>
          <w:szCs w:val="24"/>
        </w:rPr>
        <w:t xml:space="preserve"> due by November 14, 2019</w:t>
      </w:r>
      <w:r>
        <w:rPr>
          <w:rStyle w:val="FootnoteReference"/>
          <w:rFonts w:cs="Times New Roman"/>
          <w:szCs w:val="24"/>
        </w:rPr>
        <w:footnoteReference w:id="7"/>
      </w:r>
      <w:r w:rsidR="00CC4250">
        <w:rPr>
          <w:rFonts w:cs="Times New Roman"/>
          <w:szCs w:val="24"/>
        </w:rPr>
        <w:t xml:space="preserve"> </w:t>
      </w:r>
      <w:r w:rsidR="6658243A" w:rsidRPr="03488535">
        <w:rPr>
          <w:rFonts w:cs="Times New Roman"/>
          <w:szCs w:val="24"/>
        </w:rPr>
        <w:t>although LPTV/translator stations may still submit a Form 399 for eligibility consideration</w:t>
      </w:r>
      <w:r w:rsidRPr="03488535">
        <w:rPr>
          <w:rStyle w:val="FootnoteReference"/>
          <w:rFonts w:cs="Times New Roman"/>
          <w:szCs w:val="24"/>
        </w:rPr>
        <w:footnoteReference w:id="8"/>
      </w:r>
      <w:r w:rsidR="6658243A" w:rsidRPr="03488535">
        <w:rPr>
          <w:rFonts w:cs="Times New Roman"/>
          <w:szCs w:val="24"/>
        </w:rPr>
        <w:t>.</w:t>
      </w:r>
      <w:bookmarkStart w:id="8" w:name="_Hlk17187197"/>
    </w:p>
    <w:p w14:paraId="09C3E210" w14:textId="77777777" w:rsidR="00882B21" w:rsidRDefault="00882B21" w:rsidP="03488535">
      <w:pPr>
        <w:rPr>
          <w:rFonts w:cs="Times New Roman"/>
          <w:szCs w:val="24"/>
        </w:rPr>
      </w:pPr>
    </w:p>
    <w:p w14:paraId="35FE7CF3" w14:textId="77777777" w:rsidR="00B87928" w:rsidRDefault="00FD0262" w:rsidP="006012D3">
      <w:r w:rsidRPr="006012D3">
        <w:rPr>
          <w:rStyle w:val="Heading3Char"/>
        </w:rPr>
        <w:t>What should I do if I’ve already purchased equipment?</w:t>
      </w:r>
      <w:r w:rsidRPr="006012D3">
        <w:rPr>
          <w:rStyle w:val="Heading3Char"/>
        </w:rPr>
        <w:br/>
      </w:r>
      <w:r>
        <w:rPr>
          <w:rFonts w:cs="Times New Roman"/>
          <w:szCs w:val="24"/>
        </w:rPr>
        <w:t xml:space="preserve">Eligible LPTV and translator stations may submit requests for reimbursement for expenses they </w:t>
      </w:r>
      <w:r>
        <w:rPr>
          <w:rFonts w:cs="Times New Roman"/>
          <w:szCs w:val="24"/>
        </w:rPr>
        <w:lastRenderedPageBreak/>
        <w:t>have incurred, along with required supporting documentation, at the same time they submit estimates.  Stations should collect and retain all transition-related documentation including invoices, quotes, and receipts.  These documents will be used to request reimbursement and should be retained by the LPTV/translator station to support its claims for reimbursement in the event of future verifications and audits.</w:t>
      </w:r>
      <w:bookmarkEnd w:id="8"/>
    </w:p>
    <w:p w14:paraId="226181D9" w14:textId="77777777" w:rsidR="00B87928" w:rsidRDefault="00FD0262">
      <w:pPr>
        <w:spacing w:before="240"/>
      </w:pPr>
      <w:r w:rsidRPr="006012D3">
        <w:rPr>
          <w:rStyle w:val="Heading3Char"/>
        </w:rPr>
        <w:t>Do I need a construction permit to be eligible for reimbursement?</w:t>
      </w:r>
      <w:r w:rsidRPr="006012D3">
        <w:rPr>
          <w:rStyle w:val="Heading3Char"/>
        </w:rPr>
        <w:br/>
      </w:r>
      <w:r>
        <w:rPr>
          <w:rFonts w:cs="Times New Roman"/>
          <w:szCs w:val="24"/>
        </w:rPr>
        <w:t xml:space="preserve">Yes.  Stations will be deemed eligible for the reimbursement fund only if they have obtained a valid construction permit in the Special Displacement Window. </w:t>
      </w:r>
    </w:p>
    <w:p w14:paraId="12C9EC72" w14:textId="77777777" w:rsidR="00882B21" w:rsidRDefault="00882B21" w:rsidP="006012D3"/>
    <w:p w14:paraId="4C341A61" w14:textId="77777777" w:rsidR="00B87928" w:rsidRDefault="00FD0262" w:rsidP="006012D3">
      <w:pPr>
        <w:pStyle w:val="Heading3"/>
      </w:pPr>
      <w:r>
        <w:t>What was the Special Displacement Filing Window?</w:t>
      </w:r>
    </w:p>
    <w:p w14:paraId="1C83FB4E" w14:textId="77777777" w:rsidR="00B87928" w:rsidRDefault="00FD0262">
      <w:pPr>
        <w:rPr>
          <w:rFonts w:cs="Times New Roman"/>
          <w:szCs w:val="24"/>
        </w:rPr>
      </w:pPr>
      <w:r>
        <w:rPr>
          <w:rFonts w:cs="Times New Roman"/>
          <w:szCs w:val="24"/>
        </w:rPr>
        <w:t>The FCC held the Special Displacement Filing Window from April 10, 2018 – June 1, 2018, to offer operating LPTV/translator stations that were displaced because of the television broadcast spectrum reorganization, an opportunity to apply for a new channel.  LPTV/translator stations are only eligible for reimbursement if they applied for a construction permit during the Special Displacement Filing Window and were granted the permit.</w:t>
      </w:r>
    </w:p>
    <w:p w14:paraId="3C3FED05" w14:textId="77777777" w:rsidR="00882B21" w:rsidRDefault="00882B21">
      <w:pPr>
        <w:rPr>
          <w:rFonts w:cs="Times New Roman"/>
          <w:szCs w:val="24"/>
        </w:rPr>
      </w:pPr>
    </w:p>
    <w:p w14:paraId="383F2CF2" w14:textId="77777777" w:rsidR="00B87928" w:rsidRDefault="00FD0262" w:rsidP="006012D3">
      <w:pPr>
        <w:pStyle w:val="Heading3"/>
      </w:pPr>
      <w:r>
        <w:t>What if my station was displaced before the Special Displacement Filing Window opened?</w:t>
      </w:r>
    </w:p>
    <w:p w14:paraId="47886DC3" w14:textId="77777777" w:rsidR="00B87928" w:rsidRDefault="00FD0262" w:rsidP="006012D3">
      <w:pPr>
        <w:rPr>
          <w:rFonts w:cs="Times New Roman"/>
          <w:szCs w:val="24"/>
        </w:rPr>
      </w:pPr>
      <w:r>
        <w:rPr>
          <w:rFonts w:cs="Times New Roman"/>
          <w:szCs w:val="24"/>
        </w:rPr>
        <w:t>Any LPTV/translator station that was displaced as a result of the incentive auction before the Special Displacement Window opened and filed prior to the window with grant of a waiver, is treated as if it filed its construction permit application on the last day of the Special Displacement Window and is therefore eligible for reimbursement under the REA if it meets all of the other eligibility requirements.</w:t>
      </w:r>
    </w:p>
    <w:p w14:paraId="35088E93" w14:textId="77777777" w:rsidR="00882B21" w:rsidRDefault="00882B21" w:rsidP="006012D3">
      <w:pPr>
        <w:rPr>
          <w:rFonts w:cs="Times New Roman"/>
          <w:szCs w:val="24"/>
        </w:rPr>
      </w:pPr>
    </w:p>
    <w:p w14:paraId="6BD8AB22" w14:textId="77777777" w:rsidR="00B87928" w:rsidRDefault="00FD0262" w:rsidP="006012D3">
      <w:pPr>
        <w:pStyle w:val="Heading3"/>
      </w:pPr>
      <w:r w:rsidRPr="03488535">
        <w:t>What forms of documentation should I submit to support my certification that my LPTV/translator station was transmitting for at least 9 of 12 months for at least two hours per day, and not less than 28 hours per calendar week between April 12, 2016, and April 13, 2017?</w:t>
      </w:r>
      <w:r w:rsidRPr="03488535">
        <w:rPr>
          <w:rStyle w:val="FootnoteReference"/>
          <w:rFonts w:eastAsia="Times New Roman" w:cs="Times New Roman"/>
          <w:bCs/>
          <w:iCs/>
          <w:color w:val="2F5496"/>
        </w:rPr>
        <w:footnoteReference w:id="9"/>
      </w:r>
    </w:p>
    <w:p w14:paraId="1470CDC1" w14:textId="77777777" w:rsidR="00B87928" w:rsidRDefault="00FD0262">
      <w:pPr>
        <w:rPr>
          <w:rFonts w:cs="Times New Roman"/>
          <w:szCs w:val="24"/>
        </w:rPr>
      </w:pPr>
      <w:r>
        <w:rPr>
          <w:rFonts w:cs="Times New Roman"/>
          <w:szCs w:val="24"/>
        </w:rPr>
        <w:t>Submit one or more of the following documents pertaining to the station seeking reimbursement to meet minimum operating requirement (first 4 strongly preferred).  We strongly encourage that you include a cover letter to further explain any elements of your Eligibility Certification and supporting documentation:</w:t>
      </w:r>
    </w:p>
    <w:p w14:paraId="463D8003" w14:textId="77777777" w:rsidR="00B87928" w:rsidRDefault="00FD0262">
      <w:pPr>
        <w:pStyle w:val="ListParagraph"/>
        <w:numPr>
          <w:ilvl w:val="0"/>
          <w:numId w:val="12"/>
        </w:numPr>
        <w:spacing w:after="160" w:line="254" w:lineRule="auto"/>
        <w:rPr>
          <w:rFonts w:cs="Times New Roman"/>
          <w:szCs w:val="24"/>
        </w:rPr>
      </w:pPr>
      <w:r>
        <w:rPr>
          <w:rFonts w:cs="Times New Roman"/>
          <w:szCs w:val="24"/>
        </w:rPr>
        <w:t>Master control automation system logs (referencing the station);</w:t>
      </w:r>
    </w:p>
    <w:p w14:paraId="1C90BF96" w14:textId="77777777" w:rsidR="00B87928" w:rsidRDefault="00FD0262">
      <w:pPr>
        <w:pStyle w:val="ListParagraph"/>
        <w:numPr>
          <w:ilvl w:val="0"/>
          <w:numId w:val="12"/>
        </w:numPr>
        <w:spacing w:after="160" w:line="254" w:lineRule="auto"/>
        <w:rPr>
          <w:rFonts w:cs="Times New Roman"/>
          <w:szCs w:val="24"/>
        </w:rPr>
      </w:pPr>
      <w:r>
        <w:rPr>
          <w:rFonts w:cs="Times New Roman"/>
          <w:szCs w:val="24"/>
        </w:rPr>
        <w:t>Programming/operating logs, transmission logs (referencing the station);</w:t>
      </w:r>
    </w:p>
    <w:p w14:paraId="5EE7177C" w14:textId="77777777" w:rsidR="00B87928" w:rsidRDefault="00FD0262">
      <w:pPr>
        <w:pStyle w:val="ListParagraph"/>
        <w:numPr>
          <w:ilvl w:val="0"/>
          <w:numId w:val="12"/>
        </w:numPr>
        <w:spacing w:after="160" w:line="254" w:lineRule="auto"/>
        <w:rPr>
          <w:rFonts w:cs="Times New Roman"/>
          <w:szCs w:val="24"/>
        </w:rPr>
      </w:pPr>
      <w:r>
        <w:rPr>
          <w:rFonts w:cs="Times New Roman"/>
          <w:szCs w:val="24"/>
        </w:rPr>
        <w:t xml:space="preserve">Commercial logs (referencing the station); </w:t>
      </w:r>
    </w:p>
    <w:p w14:paraId="03BA0E33" w14:textId="77777777" w:rsidR="00B87928" w:rsidRDefault="00FD0262">
      <w:pPr>
        <w:pStyle w:val="ListParagraph"/>
        <w:numPr>
          <w:ilvl w:val="0"/>
          <w:numId w:val="12"/>
        </w:numPr>
        <w:spacing w:after="160" w:line="254" w:lineRule="auto"/>
        <w:rPr>
          <w:rFonts w:cs="Times New Roman"/>
          <w:szCs w:val="24"/>
        </w:rPr>
      </w:pPr>
      <w:r>
        <w:rPr>
          <w:rFonts w:cs="Times New Roman"/>
          <w:szCs w:val="24"/>
        </w:rPr>
        <w:t>Program guides (referencing the station and including indication that the programs listed were aired);</w:t>
      </w:r>
    </w:p>
    <w:p w14:paraId="1AE26D13" w14:textId="19010F3E" w:rsidR="00B87928" w:rsidRDefault="00FD0262">
      <w:pPr>
        <w:pStyle w:val="ListParagraph"/>
        <w:numPr>
          <w:ilvl w:val="0"/>
          <w:numId w:val="12"/>
        </w:numPr>
        <w:spacing w:after="160" w:line="254" w:lineRule="auto"/>
        <w:rPr>
          <w:rFonts w:cs="Times New Roman"/>
          <w:szCs w:val="24"/>
        </w:rPr>
      </w:pPr>
      <w:r w:rsidRPr="1A5C85BE">
        <w:rPr>
          <w:rFonts w:cs="Times New Roman"/>
          <w:szCs w:val="24"/>
        </w:rPr>
        <w:t>Tower/facility rental/leasing agreement (specifying site location</w:t>
      </w:r>
      <w:r w:rsidR="39E5D416" w:rsidRPr="1A5C85BE">
        <w:rPr>
          <w:rFonts w:cs="Times New Roman"/>
          <w:szCs w:val="24"/>
        </w:rPr>
        <w:t xml:space="preserve"> and signed by all parties</w:t>
      </w:r>
      <w:r w:rsidRPr="1A5C85BE">
        <w:rPr>
          <w:rFonts w:cs="Times New Roman"/>
          <w:szCs w:val="24"/>
        </w:rPr>
        <w:t>);</w:t>
      </w:r>
    </w:p>
    <w:p w14:paraId="5FC21181" w14:textId="5046AB9C" w:rsidR="00B87928" w:rsidRDefault="00900FCD">
      <w:pPr>
        <w:pStyle w:val="ListParagraph"/>
        <w:numPr>
          <w:ilvl w:val="0"/>
          <w:numId w:val="12"/>
        </w:numPr>
        <w:spacing w:after="160" w:line="254" w:lineRule="auto"/>
        <w:rPr>
          <w:rFonts w:cs="Times New Roman"/>
          <w:szCs w:val="24"/>
        </w:rPr>
      </w:pPr>
      <w:r>
        <w:rPr>
          <w:rFonts w:cs="Times New Roman"/>
          <w:szCs w:val="24"/>
        </w:rPr>
        <w:lastRenderedPageBreak/>
        <w:t>R</w:t>
      </w:r>
      <w:r w:rsidR="1E6CC2F4" w:rsidRPr="1A5C85BE">
        <w:rPr>
          <w:rFonts w:cs="Times New Roman"/>
          <w:szCs w:val="24"/>
        </w:rPr>
        <w:t>eb</w:t>
      </w:r>
      <w:r w:rsidR="00FD0262" w:rsidRPr="1A5C85BE">
        <w:rPr>
          <w:rFonts w:cs="Times New Roman"/>
          <w:szCs w:val="24"/>
        </w:rPr>
        <w:t>roadcast agreement;</w:t>
      </w:r>
    </w:p>
    <w:p w14:paraId="624CFB06" w14:textId="018D26B5" w:rsidR="00B87928" w:rsidRDefault="00FD0262">
      <w:pPr>
        <w:pStyle w:val="ListParagraph"/>
        <w:numPr>
          <w:ilvl w:val="0"/>
          <w:numId w:val="12"/>
        </w:numPr>
        <w:spacing w:after="160" w:line="254" w:lineRule="auto"/>
        <w:rPr>
          <w:rFonts w:cs="Times New Roman"/>
          <w:szCs w:val="24"/>
        </w:rPr>
      </w:pPr>
      <w:r w:rsidRPr="03488535">
        <w:rPr>
          <w:rFonts w:cs="Times New Roman"/>
          <w:szCs w:val="24"/>
        </w:rPr>
        <w:t xml:space="preserve">Third-party affidavits or declarations (Examples might include advertisers, content providers or, in the case of translators, associated stations.  The supplying third party should explicitly affirm the affiant’s/declarant’s first-hand knowledge of the station’s operations and that it met the minimum operating requirement; describe the affiant’s/ declarant’s relationship to the station and the basis for his or her knowledge; and include a statement that no monetary or other compensation was received in exchange for the affidavit/declaration); </w:t>
      </w:r>
    </w:p>
    <w:p w14:paraId="686466F0" w14:textId="77777777" w:rsidR="00B87928" w:rsidRDefault="00FD0262">
      <w:pPr>
        <w:pStyle w:val="ListParagraph"/>
        <w:numPr>
          <w:ilvl w:val="0"/>
          <w:numId w:val="12"/>
        </w:numPr>
        <w:spacing w:after="160" w:line="254" w:lineRule="auto"/>
        <w:rPr>
          <w:rFonts w:cs="Times New Roman"/>
          <w:szCs w:val="24"/>
        </w:rPr>
      </w:pPr>
      <w:r>
        <w:rPr>
          <w:rFonts w:cs="Times New Roman"/>
          <w:szCs w:val="24"/>
        </w:rPr>
        <w:t>Electric bills (specifying site location);</w:t>
      </w:r>
    </w:p>
    <w:p w14:paraId="1B7946AA" w14:textId="77777777" w:rsidR="00B87928" w:rsidRDefault="00FD0262" w:rsidP="006012D3">
      <w:pPr>
        <w:pStyle w:val="ListParagraph"/>
        <w:numPr>
          <w:ilvl w:val="0"/>
          <w:numId w:val="12"/>
        </w:numPr>
        <w:spacing w:line="254" w:lineRule="auto"/>
        <w:rPr>
          <w:rFonts w:cs="Times New Roman"/>
          <w:szCs w:val="24"/>
        </w:rPr>
      </w:pPr>
      <w:r>
        <w:rPr>
          <w:rFonts w:cs="Times New Roman"/>
          <w:szCs w:val="24"/>
        </w:rPr>
        <w:t>The Commission will consider other forms of documentation on a case-by-case basis.</w:t>
      </w:r>
    </w:p>
    <w:p w14:paraId="06595FEE" w14:textId="77777777" w:rsidR="003C6ED5" w:rsidRPr="003C6ED5" w:rsidRDefault="003C6ED5" w:rsidP="006012D3">
      <w:pPr>
        <w:spacing w:line="254" w:lineRule="auto"/>
        <w:ind w:left="360"/>
        <w:rPr>
          <w:rFonts w:cs="Times New Roman"/>
          <w:szCs w:val="24"/>
        </w:rPr>
      </w:pPr>
    </w:p>
    <w:p w14:paraId="4B4F4204" w14:textId="77777777" w:rsidR="00B87928" w:rsidRDefault="00FD0262" w:rsidP="00A90C18">
      <w:pPr>
        <w:pStyle w:val="Heading3"/>
      </w:pPr>
      <w:r>
        <w:t>Can I still seek reimbursement if I’ve already been reimbursed from another entity?</w:t>
      </w:r>
    </w:p>
    <w:p w14:paraId="247E2322" w14:textId="59D8E48C" w:rsidR="00B87928" w:rsidRDefault="00FD0262">
      <w:pPr>
        <w:rPr>
          <w:rFonts w:cs="Times New Roman"/>
          <w:szCs w:val="24"/>
        </w:rPr>
      </w:pPr>
      <w:bookmarkStart w:id="9" w:name="_Hlk17900590"/>
      <w:r w:rsidRPr="6C2CFDEA">
        <w:rPr>
          <w:rFonts w:cs="Times New Roman"/>
          <w:szCs w:val="24"/>
        </w:rPr>
        <w:t>No. Any LPTV/translator station that has received – or expects to receive – reimbursement for costs associated with the broadcast television spectrum reorganization from another entity will not be eligible to receive funds from the Reimbursement Fund for the same costs.  Duplicative payments are prohibited under the REA.</w:t>
      </w:r>
    </w:p>
    <w:p w14:paraId="70C4AED7" w14:textId="28270A18" w:rsidR="008F6CDD" w:rsidRDefault="008F6CDD">
      <w:pPr>
        <w:rPr>
          <w:rFonts w:cs="Times New Roman"/>
          <w:szCs w:val="24"/>
        </w:rPr>
      </w:pPr>
    </w:p>
    <w:p w14:paraId="690F604A" w14:textId="77777777" w:rsidR="008F6CDD" w:rsidRPr="009C31D7" w:rsidRDefault="008F6CDD" w:rsidP="008F6CDD">
      <w:pPr>
        <w:rPr>
          <w:rFonts w:cs="Times New Roman"/>
          <w:szCs w:val="24"/>
        </w:rPr>
      </w:pPr>
      <w:r w:rsidRPr="009C31D7">
        <w:rPr>
          <w:rFonts w:eastAsia="Yu Gothic Light" w:cs="Times New Roman"/>
          <w:b/>
          <w:i/>
          <w:color w:val="2F5496"/>
          <w:szCs w:val="24"/>
        </w:rPr>
        <w:t>Should I submit an eligibility certification if I do not have a good-faith basis to believe my station is eligible to receive Reimbursement Funds?</w:t>
      </w:r>
    </w:p>
    <w:p w14:paraId="0DEDE4F5" w14:textId="77777777" w:rsidR="008F6CDD" w:rsidRDefault="008F6CDD" w:rsidP="008F6CDD">
      <w:pPr>
        <w:rPr>
          <w:rFonts w:cs="Times New Roman"/>
          <w:szCs w:val="24"/>
        </w:rPr>
      </w:pPr>
      <w:r w:rsidRPr="009C31D7">
        <w:rPr>
          <w:rFonts w:cs="Times New Roman"/>
          <w:szCs w:val="24"/>
        </w:rPr>
        <w:t>No.  The Eligibility Certification requires an authorized agent of the licensee to attest that statements in the form and attached documentation are true, complete, and correct.  Willfully false, fraudulent, or fictitious statements are punishable by fine and/or imprisonment, and/or revocation of a station license or construction permit.  False and/or fraudulent statements could subject an entity to liability under the false claims act.</w:t>
      </w:r>
    </w:p>
    <w:p w14:paraId="7A7537F5" w14:textId="77777777" w:rsidR="008F6CDD" w:rsidRPr="009C31D7" w:rsidRDefault="008F6CDD" w:rsidP="008F6CDD">
      <w:pPr>
        <w:rPr>
          <w:rFonts w:cs="Times New Roman"/>
          <w:szCs w:val="24"/>
        </w:rPr>
      </w:pPr>
    </w:p>
    <w:p w14:paraId="2E41E1E6" w14:textId="77777777" w:rsidR="00B87928" w:rsidRPr="00A90C18" w:rsidRDefault="00FD0262" w:rsidP="00A90C18">
      <w:pPr>
        <w:pStyle w:val="Heading1"/>
      </w:pPr>
      <w:bookmarkStart w:id="10" w:name="_Toc38456179"/>
      <w:bookmarkEnd w:id="9"/>
      <w:r w:rsidRPr="00A90C18">
        <w:rPr>
          <w:rStyle w:val="Heading1Char"/>
          <w:rFonts w:ascii="Times New Roman" w:hAnsi="Times New Roman"/>
          <w:color w:val="auto"/>
          <w:sz w:val="28"/>
        </w:rPr>
        <w:t>Estimates and Allocations</w:t>
      </w:r>
      <w:bookmarkEnd w:id="10"/>
    </w:p>
    <w:p w14:paraId="310BA130" w14:textId="26C07D21" w:rsidR="00B87928" w:rsidRDefault="00FD0262">
      <w:pPr>
        <w:pStyle w:val="FootnoteText"/>
        <w:spacing w:before="240"/>
        <w:rPr>
          <w:rFonts w:eastAsia="Times New Roman" w:cs="Times New Roman"/>
          <w:sz w:val="24"/>
          <w:szCs w:val="24"/>
        </w:rPr>
      </w:pPr>
      <w:r w:rsidRPr="00A90C18">
        <w:rPr>
          <w:rStyle w:val="Heading3Char"/>
        </w:rPr>
        <w:t xml:space="preserve">When are cost estimates due? </w:t>
      </w:r>
      <w:r w:rsidRPr="00A90C18">
        <w:rPr>
          <w:rStyle w:val="Heading3Char"/>
        </w:rPr>
        <w:br/>
      </w:r>
      <w:r>
        <w:rPr>
          <w:rFonts w:cs="Times New Roman"/>
          <w:sz w:val="24"/>
          <w:szCs w:val="24"/>
        </w:rPr>
        <w:t xml:space="preserve">Initial cost estimates </w:t>
      </w:r>
      <w:r w:rsidR="20578712" w:rsidRPr="4751CC6E">
        <w:rPr>
          <w:rFonts w:cs="Times New Roman"/>
          <w:sz w:val="24"/>
          <w:szCs w:val="24"/>
        </w:rPr>
        <w:t>were</w:t>
      </w:r>
      <w:r>
        <w:rPr>
          <w:rFonts w:cs="Times New Roman"/>
          <w:sz w:val="24"/>
          <w:szCs w:val="24"/>
        </w:rPr>
        <w:t xml:space="preserve"> due </w:t>
      </w:r>
      <w:r w:rsidR="1CF4447B" w:rsidRPr="4751CC6E">
        <w:rPr>
          <w:rFonts w:cs="Times New Roman"/>
          <w:sz w:val="24"/>
          <w:szCs w:val="24"/>
        </w:rPr>
        <w:t>by</w:t>
      </w:r>
      <w:r>
        <w:rPr>
          <w:rFonts w:cs="Times New Roman"/>
          <w:sz w:val="24"/>
          <w:szCs w:val="24"/>
        </w:rPr>
        <w:t xml:space="preserve"> </w:t>
      </w:r>
      <w:r w:rsidRPr="00A90C18">
        <w:rPr>
          <w:rFonts w:cs="Times New Roman"/>
          <w:sz w:val="24"/>
          <w:szCs w:val="24"/>
        </w:rPr>
        <w:t>November 14, 2019</w:t>
      </w:r>
      <w:r>
        <w:rPr>
          <w:rFonts w:cs="Times New Roman"/>
          <w:sz w:val="24"/>
          <w:szCs w:val="24"/>
        </w:rPr>
        <w:t>.</w:t>
      </w:r>
      <w:r w:rsidR="223CE3EF" w:rsidRPr="4751CC6E">
        <w:rPr>
          <w:rFonts w:cs="Times New Roman"/>
          <w:sz w:val="24"/>
          <w:szCs w:val="24"/>
        </w:rPr>
        <w:t xml:space="preserve"> </w:t>
      </w:r>
      <w:r w:rsidR="23CB129C" w:rsidRPr="4751CC6E">
        <w:rPr>
          <w:rFonts w:eastAsia="Times New Roman" w:cs="Times New Roman"/>
          <w:sz w:val="24"/>
          <w:szCs w:val="24"/>
        </w:rPr>
        <w:t xml:space="preserve"> An initial allocation was made by the Commission on March 26, 2020 to those stations that had submitted eligibility certification, been deemed eligible and submitted a cost estimate for verification before that date. Stations </w:t>
      </w:r>
      <w:r w:rsidR="56C1A83D" w:rsidRPr="4751CC6E">
        <w:rPr>
          <w:rFonts w:eastAsia="Times New Roman" w:cs="Times New Roman"/>
          <w:sz w:val="24"/>
          <w:szCs w:val="24"/>
        </w:rPr>
        <w:t xml:space="preserve">that are deemed eligible </w:t>
      </w:r>
      <w:r w:rsidR="6FAD0C0B" w:rsidRPr="4751CC6E">
        <w:rPr>
          <w:rFonts w:eastAsia="Times New Roman" w:cs="Times New Roman"/>
          <w:sz w:val="24"/>
          <w:szCs w:val="24"/>
        </w:rPr>
        <w:t xml:space="preserve">and </w:t>
      </w:r>
      <w:r w:rsidR="23CB129C" w:rsidRPr="4751CC6E">
        <w:rPr>
          <w:rFonts w:eastAsia="Times New Roman" w:cs="Times New Roman"/>
          <w:sz w:val="24"/>
          <w:szCs w:val="24"/>
        </w:rPr>
        <w:t xml:space="preserve">submit a cost estimate after March 26, 2020 will </w:t>
      </w:r>
      <w:r w:rsidR="282BF7D6" w:rsidRPr="4751CC6E">
        <w:rPr>
          <w:rFonts w:eastAsia="Times New Roman" w:cs="Times New Roman"/>
          <w:sz w:val="24"/>
          <w:szCs w:val="24"/>
        </w:rPr>
        <w:t xml:space="preserve">have their cost estimate </w:t>
      </w:r>
      <w:r w:rsidR="23CB129C" w:rsidRPr="4751CC6E">
        <w:rPr>
          <w:rFonts w:eastAsia="Times New Roman" w:cs="Times New Roman"/>
          <w:sz w:val="24"/>
          <w:szCs w:val="24"/>
        </w:rPr>
        <w:t>reviewed and verified</w:t>
      </w:r>
      <w:r w:rsidR="6677CBE5" w:rsidRPr="4751CC6E">
        <w:rPr>
          <w:rFonts w:eastAsia="Times New Roman" w:cs="Times New Roman"/>
          <w:sz w:val="24"/>
          <w:szCs w:val="24"/>
        </w:rPr>
        <w:t xml:space="preserve"> by the Commission and </w:t>
      </w:r>
      <w:r w:rsidR="23CB129C" w:rsidRPr="4751CC6E">
        <w:rPr>
          <w:rFonts w:eastAsia="Times New Roman" w:cs="Times New Roman"/>
          <w:sz w:val="24"/>
          <w:szCs w:val="24"/>
        </w:rPr>
        <w:t>will then be included in any subsequent allocations provided by the FCC.</w:t>
      </w:r>
      <w:r w:rsidR="003561DE">
        <w:rPr>
          <w:rStyle w:val="FootnoteReference"/>
          <w:rFonts w:eastAsia="Times New Roman" w:cs="Times New Roman"/>
          <w:sz w:val="24"/>
          <w:szCs w:val="24"/>
        </w:rPr>
        <w:footnoteReference w:id="10"/>
      </w:r>
    </w:p>
    <w:p w14:paraId="2B3F6E02" w14:textId="77777777" w:rsidR="00882B21" w:rsidRDefault="00882B21" w:rsidP="006012D3">
      <w:pPr>
        <w:pStyle w:val="FootnoteText"/>
        <w:rPr>
          <w:rFonts w:eastAsia="Times New Roman" w:cs="Times New Roman"/>
          <w:sz w:val="24"/>
          <w:szCs w:val="24"/>
        </w:rPr>
      </w:pPr>
    </w:p>
    <w:p w14:paraId="3F6AFBAA" w14:textId="77777777" w:rsidR="00B87928" w:rsidRPr="001B4F3C" w:rsidRDefault="00FD0262" w:rsidP="00A90C18">
      <w:pPr>
        <w:pStyle w:val="Heading3"/>
        <w:rPr>
          <w:color w:val="2F5496"/>
        </w:rPr>
      </w:pPr>
      <w:r w:rsidRPr="001B4F3C">
        <w:rPr>
          <w:color w:val="2F5496"/>
        </w:rPr>
        <w:t>What is the purpose of submitting cost estimates?</w:t>
      </w:r>
    </w:p>
    <w:p w14:paraId="13DD291A" w14:textId="77777777" w:rsidR="00B87928" w:rsidRDefault="00FD0262" w:rsidP="006012D3">
      <w:pPr>
        <w:rPr>
          <w:rFonts w:cs="Times New Roman"/>
          <w:szCs w:val="24"/>
        </w:rPr>
      </w:pPr>
      <w:r w:rsidRPr="001B4F3C">
        <w:rPr>
          <w:rFonts w:cs="Times New Roman"/>
          <w:szCs w:val="24"/>
        </w:rPr>
        <w:t xml:space="preserve">LPTV/translator stations must identify both their existing equipment and the equipment and services they intend to purchase (or have already purchased) to relocate their television service from one channel to another channel, or to otherwise modify their facilities as a result of </w:t>
      </w:r>
      <w:r w:rsidRPr="001B4F3C">
        <w:rPr>
          <w:rFonts w:cs="Times New Roman"/>
          <w:szCs w:val="24"/>
        </w:rPr>
        <w:lastRenderedPageBreak/>
        <w:t xml:space="preserve">displacement due to the reorganization of broadcast television spectrum.  A station’s estimated transition cost will serve as the basis for an initial allocation of funds, against which the station can begin to draw down as its reimbursement requests for incurred costs are approved.  </w:t>
      </w:r>
    </w:p>
    <w:p w14:paraId="39636875" w14:textId="77777777" w:rsidR="00882B21" w:rsidRPr="001B4F3C" w:rsidRDefault="00882B21" w:rsidP="006012D3">
      <w:pPr>
        <w:rPr>
          <w:rFonts w:cs="Times New Roman"/>
          <w:szCs w:val="24"/>
        </w:rPr>
      </w:pPr>
    </w:p>
    <w:p w14:paraId="10B9D57F" w14:textId="77777777" w:rsidR="00B87928" w:rsidRPr="001B4F3C" w:rsidRDefault="00FD0262" w:rsidP="006012D3">
      <w:pPr>
        <w:pStyle w:val="Heading3"/>
        <w:spacing w:before="0"/>
      </w:pPr>
      <w:r w:rsidRPr="001B4F3C">
        <w:t>How should stations estimate their costs?</w:t>
      </w:r>
    </w:p>
    <w:p w14:paraId="0106DFCB" w14:textId="77777777" w:rsidR="00B87928" w:rsidRPr="001B4F3C" w:rsidRDefault="00FD0262">
      <w:pPr>
        <w:spacing w:after="120"/>
        <w:rPr>
          <w:szCs w:val="24"/>
        </w:rPr>
      </w:pPr>
      <w:r w:rsidRPr="001B4F3C">
        <w:rPr>
          <w:rFonts w:cs="Times New Roman"/>
          <w:szCs w:val="24"/>
        </w:rPr>
        <w:t>Stations submit estimates using Form 399 in LMS.  A s</w:t>
      </w:r>
      <w:r w:rsidRPr="001B4F3C">
        <w:rPr>
          <w:rFonts w:eastAsia="Times New Roman" w:cs="Times New Roman"/>
          <w:kern w:val="3"/>
          <w:szCs w:val="24"/>
        </w:rPr>
        <w:t xml:space="preserve">tation </w:t>
      </w:r>
      <w:r w:rsidRPr="001B4F3C">
        <w:rPr>
          <w:rFonts w:cs="Times New Roman"/>
          <w:szCs w:val="24"/>
        </w:rPr>
        <w:t xml:space="preserve">may either submit an amount within the price range specified in the Cost Catalog (which is embedded in Form 399 in LMS) for equipment or services, or the station may rely on a price quote from a vendor.  For any expenses not listed in the Cost Catalog, the station must submit supporting documentation to justify its cost estimate.  </w:t>
      </w:r>
    </w:p>
    <w:p w14:paraId="11E867BA" w14:textId="77777777" w:rsidR="00B87928" w:rsidRPr="001B4F3C" w:rsidRDefault="00FD0262">
      <w:pPr>
        <w:rPr>
          <w:rFonts w:cs="Times New Roman"/>
          <w:szCs w:val="24"/>
        </w:rPr>
      </w:pPr>
      <w:r w:rsidRPr="001B4F3C">
        <w:rPr>
          <w:rFonts w:cs="Times New Roman"/>
          <w:szCs w:val="24"/>
        </w:rPr>
        <w:t xml:space="preserve">In situations where actual costs have already been incurred for some or all of the station’s anticipated expenses, stations should utilize the actual cost value as their estimate and should provide the actual cost invoice and other relevant documentation in lieu of vendor quotes or other estimate documents.  </w:t>
      </w:r>
    </w:p>
    <w:p w14:paraId="5DAB6C7B" w14:textId="77777777" w:rsidR="001B4F3C" w:rsidRPr="001B4F3C" w:rsidRDefault="001B4F3C">
      <w:pPr>
        <w:rPr>
          <w:rFonts w:cs="Times New Roman"/>
          <w:szCs w:val="24"/>
        </w:rPr>
      </w:pPr>
    </w:p>
    <w:p w14:paraId="54C46904" w14:textId="77777777" w:rsidR="00B87928" w:rsidRDefault="00FD0262">
      <w:pPr>
        <w:rPr>
          <w:rFonts w:cs="Times New Roman"/>
          <w:szCs w:val="24"/>
        </w:rPr>
      </w:pPr>
      <w:r w:rsidRPr="001B4F3C">
        <w:rPr>
          <w:rFonts w:cs="Times New Roman"/>
          <w:szCs w:val="24"/>
        </w:rPr>
        <w:t>Cost estimates based on Cost Catalog pricing must be adjusted after the invoice has been received to reflect the actual amount of the invoice.</w:t>
      </w:r>
    </w:p>
    <w:p w14:paraId="02398702" w14:textId="77777777" w:rsidR="00882B21" w:rsidRPr="001B4F3C" w:rsidRDefault="00882B21" w:rsidP="00434C51">
      <w:pPr>
        <w:rPr>
          <w:rFonts w:cs="Times New Roman"/>
          <w:szCs w:val="24"/>
        </w:rPr>
      </w:pPr>
    </w:p>
    <w:p w14:paraId="35D6C04E" w14:textId="77777777" w:rsidR="00B87928" w:rsidRPr="001B4F3C" w:rsidRDefault="00FD0262" w:rsidP="00A90C18">
      <w:pPr>
        <w:pStyle w:val="Heading3"/>
      </w:pPr>
      <w:r w:rsidRPr="001B4F3C">
        <w:t>How will cost estimates be evaluated?</w:t>
      </w:r>
    </w:p>
    <w:p w14:paraId="2FC4024A" w14:textId="77777777" w:rsidR="00B87928" w:rsidRDefault="00FD0262">
      <w:pPr>
        <w:rPr>
          <w:rFonts w:cs="Times New Roman"/>
          <w:szCs w:val="24"/>
        </w:rPr>
      </w:pPr>
      <w:r w:rsidRPr="001B4F3C">
        <w:rPr>
          <w:rFonts w:cs="Times New Roman"/>
          <w:szCs w:val="24"/>
        </w:rPr>
        <w:t xml:space="preserve">The Fund Administrator will review each cost estimate for reasonableness and may contact the station for clarification or to request additional information.  </w:t>
      </w:r>
    </w:p>
    <w:p w14:paraId="6242E495" w14:textId="77777777" w:rsidR="00C46FC3" w:rsidRPr="001B4F3C" w:rsidRDefault="00C46FC3">
      <w:pPr>
        <w:rPr>
          <w:rFonts w:cs="Times New Roman"/>
          <w:szCs w:val="24"/>
        </w:rPr>
      </w:pPr>
    </w:p>
    <w:p w14:paraId="2690B487" w14:textId="480B2CC7" w:rsidR="00B87928" w:rsidRPr="001B4F3C" w:rsidRDefault="00FD0262" w:rsidP="006012D3">
      <w:pPr>
        <w:rPr>
          <w:szCs w:val="24"/>
        </w:rPr>
      </w:pPr>
      <w:r w:rsidRPr="00A90C18">
        <w:rPr>
          <w:rStyle w:val="Heading3Char"/>
        </w:rPr>
        <w:t>How will allocations be calculated by the Commission?</w:t>
      </w:r>
      <w:r w:rsidRPr="00A90C18">
        <w:rPr>
          <w:rStyle w:val="Heading3Char"/>
        </w:rPr>
        <w:br/>
      </w:r>
      <w:r w:rsidRPr="1A5C85BE">
        <w:rPr>
          <w:rFonts w:cs="Times New Roman"/>
          <w:szCs w:val="24"/>
        </w:rPr>
        <w:t>It is the Commission’s goal</w:t>
      </w:r>
      <w:r w:rsidR="6D7BB380" w:rsidRPr="1A5C85BE">
        <w:rPr>
          <w:rFonts w:cs="Times New Roman"/>
          <w:szCs w:val="24"/>
        </w:rPr>
        <w:t xml:space="preserve"> </w:t>
      </w:r>
      <w:r w:rsidRPr="1A5C85BE">
        <w:rPr>
          <w:rFonts w:cs="Times New Roman"/>
          <w:szCs w:val="24"/>
        </w:rPr>
        <w:t xml:space="preserve">to ensure that reimbursement funds are allocated fairly and consistently across all eligible entities.  Reimbursement funds </w:t>
      </w:r>
      <w:r w:rsidR="00320E15">
        <w:rPr>
          <w:rFonts w:cs="Times New Roman"/>
          <w:szCs w:val="24"/>
        </w:rPr>
        <w:t>were</w:t>
      </w:r>
      <w:r w:rsidRPr="1A5C85BE">
        <w:rPr>
          <w:rFonts w:cs="Times New Roman"/>
          <w:szCs w:val="24"/>
        </w:rPr>
        <w:t xml:space="preserve"> allocated by the Media Bureau in tranches, with the allocation amounts calculated based on:</w:t>
      </w:r>
    </w:p>
    <w:p w14:paraId="7B45DD85" w14:textId="77777777" w:rsidR="00B87928" w:rsidRPr="001B4F3C" w:rsidRDefault="00FD0262">
      <w:pPr>
        <w:pStyle w:val="ListParagraph"/>
        <w:numPr>
          <w:ilvl w:val="0"/>
          <w:numId w:val="13"/>
        </w:numPr>
        <w:rPr>
          <w:rFonts w:cs="Times New Roman"/>
          <w:szCs w:val="24"/>
        </w:rPr>
      </w:pPr>
      <w:r w:rsidRPr="001B4F3C">
        <w:rPr>
          <w:rFonts w:cs="Times New Roman"/>
          <w:szCs w:val="24"/>
        </w:rPr>
        <w:t>The amount of repacking expenses reported on the estimated cost forms by all eligible entities; and</w:t>
      </w:r>
    </w:p>
    <w:p w14:paraId="754371E9" w14:textId="77777777" w:rsidR="00B87928" w:rsidRDefault="00FD0262" w:rsidP="0066064C">
      <w:pPr>
        <w:pStyle w:val="ListParagraph"/>
        <w:numPr>
          <w:ilvl w:val="0"/>
          <w:numId w:val="13"/>
        </w:numPr>
        <w:spacing w:after="120"/>
        <w:rPr>
          <w:rFonts w:cs="Times New Roman"/>
          <w:szCs w:val="24"/>
        </w:rPr>
      </w:pPr>
      <w:r w:rsidRPr="001B4F3C">
        <w:rPr>
          <w:rFonts w:cs="Times New Roman"/>
          <w:szCs w:val="24"/>
        </w:rPr>
        <w:t>The amount of money available in the Reimbursement Fund available for use by LPTV/translator stations.</w:t>
      </w:r>
    </w:p>
    <w:p w14:paraId="4C61AA0D" w14:textId="718D26D8" w:rsidR="00882B21" w:rsidRDefault="008B5D44" w:rsidP="0066064C">
      <w:pPr>
        <w:suppressAutoHyphens w:val="0"/>
        <w:autoSpaceDN/>
        <w:spacing w:after="160" w:line="259" w:lineRule="auto"/>
        <w:textAlignment w:val="auto"/>
        <w:rPr>
          <w:rFonts w:cs="Times New Roman"/>
          <w:szCs w:val="24"/>
        </w:rPr>
      </w:pPr>
      <w:r>
        <w:rPr>
          <w:szCs w:val="24"/>
        </w:rPr>
        <w:t>Although earlier in the program entities were allocated a percentage of their verified estimates, a</w:t>
      </w:r>
      <w:r w:rsidR="00320E15" w:rsidRPr="00320E15">
        <w:rPr>
          <w:rFonts w:cs="Times New Roman"/>
          <w:szCs w:val="24"/>
        </w:rPr>
        <w:t xml:space="preserve">s </w:t>
      </w:r>
      <w:r>
        <w:rPr>
          <w:rFonts w:cs="Times New Roman"/>
          <w:szCs w:val="24"/>
        </w:rPr>
        <w:t xml:space="preserve">announced on </w:t>
      </w:r>
      <w:r w:rsidR="00320E15" w:rsidRPr="00320E15">
        <w:rPr>
          <w:rFonts w:cs="Times New Roman"/>
          <w:szCs w:val="24"/>
        </w:rPr>
        <w:t xml:space="preserve"> February 24, 2022, all entities have been allocated 100% of their total verified estimated cost.</w:t>
      </w:r>
    </w:p>
    <w:p w14:paraId="3802EF17" w14:textId="77777777" w:rsidR="00B87928" w:rsidRPr="001B4F3C" w:rsidRDefault="00FD0262" w:rsidP="006012D3">
      <w:pPr>
        <w:pStyle w:val="Heading3"/>
        <w:spacing w:before="0"/>
      </w:pPr>
      <w:r w:rsidRPr="001B4F3C">
        <w:t>Will stations be notified when review of their cost estimates is complete?</w:t>
      </w:r>
    </w:p>
    <w:p w14:paraId="1322A5E7" w14:textId="77777777" w:rsidR="00B87928" w:rsidRDefault="00FD0262">
      <w:pPr>
        <w:rPr>
          <w:rFonts w:cs="Times New Roman"/>
          <w:szCs w:val="24"/>
        </w:rPr>
      </w:pPr>
      <w:r w:rsidRPr="5D2D8782">
        <w:rPr>
          <w:rFonts w:cs="Times New Roman"/>
          <w:szCs w:val="24"/>
        </w:rPr>
        <w:t>Yes.  The station’s reimbursement contact (as identified on its Reimbursement Form 399) will receive an email indicating review of the station’s cost estimates is complete.</w:t>
      </w:r>
    </w:p>
    <w:p w14:paraId="7F095657" w14:textId="77777777" w:rsidR="00882B21" w:rsidRPr="001B4F3C" w:rsidRDefault="00882B21">
      <w:pPr>
        <w:rPr>
          <w:rFonts w:cs="Times New Roman"/>
          <w:szCs w:val="24"/>
        </w:rPr>
      </w:pPr>
    </w:p>
    <w:p w14:paraId="2316D151" w14:textId="7270A596" w:rsidR="406D5864" w:rsidRDefault="406D5864" w:rsidP="006012D3">
      <w:pPr>
        <w:pStyle w:val="Heading3"/>
        <w:spacing w:before="0"/>
        <w:rPr>
          <w:rFonts w:eastAsia="Times New Roman"/>
          <w:bCs/>
          <w:iCs/>
          <w:color w:val="1F497D"/>
        </w:rPr>
      </w:pPr>
      <w:r w:rsidRPr="5D2D8782">
        <w:rPr>
          <w:rFonts w:eastAsia="Times New Roman"/>
          <w:bCs/>
          <w:iCs/>
          <w:color w:val="365F91"/>
        </w:rPr>
        <w:lastRenderedPageBreak/>
        <w:t>Is an entity’s allocation applied as a percentage</w:t>
      </w:r>
      <w:r w:rsidR="00756F34">
        <w:rPr>
          <w:rFonts w:eastAsia="Times New Roman"/>
          <w:bCs/>
          <w:iCs/>
          <w:color w:val="365F91"/>
        </w:rPr>
        <w:t xml:space="preserve"> of</w:t>
      </w:r>
      <w:r w:rsidRPr="5D2D8782">
        <w:rPr>
          <w:rFonts w:eastAsia="Times New Roman"/>
          <w:bCs/>
          <w:iCs/>
          <w:color w:val="365F91"/>
        </w:rPr>
        <w:t xml:space="preserve"> that entity’s total verified estimated cost or is it applied on a line item level?  For instance, can an entity only draw down a percentage of its total antenna cost even if the cost is fully incurred</w:t>
      </w:r>
      <w:r w:rsidR="003561DE">
        <w:rPr>
          <w:rFonts w:eastAsia="Times New Roman"/>
          <w:iCs/>
          <w:color w:val="365F91"/>
          <w:vertAlign w:val="superscript"/>
        </w:rPr>
        <w:t>?</w:t>
      </w:r>
      <w:r w:rsidR="003561DE">
        <w:rPr>
          <w:rStyle w:val="FootnoteReference"/>
          <w:rFonts w:eastAsia="Times New Roman" w:cs="Times New Roman"/>
          <w:i w:val="0"/>
          <w:iCs/>
          <w:color w:val="365F91"/>
        </w:rPr>
        <w:footnoteReference w:id="11"/>
      </w:r>
    </w:p>
    <w:p w14:paraId="74A4E605" w14:textId="3893ED39" w:rsidR="406D5864" w:rsidRDefault="008B5D44" w:rsidP="5D2D8782">
      <w:pPr>
        <w:spacing w:after="160" w:line="259" w:lineRule="auto"/>
        <w:rPr>
          <w:rFonts w:eastAsia="Times New Roman" w:cs="Times New Roman"/>
        </w:rPr>
      </w:pPr>
      <w:r>
        <w:rPr>
          <w:szCs w:val="24"/>
        </w:rPr>
        <w:t>Although earlier in the program entities were allocated a percentage of their verified estimates, announced on</w:t>
      </w:r>
      <w:r w:rsidR="00736AF1">
        <w:rPr>
          <w:szCs w:val="24"/>
        </w:rPr>
        <w:t xml:space="preserve"> February 24, 2022, all entities have been allocated 100% of their total verified estimated cost.  </w:t>
      </w:r>
      <w:r w:rsidR="406D5864" w:rsidRPr="5D2D8782">
        <w:rPr>
          <w:rFonts w:eastAsia="Times New Roman" w:cs="Times New Roman"/>
        </w:rPr>
        <w:t xml:space="preserve">Approved invoices </w:t>
      </w:r>
      <w:r w:rsidR="00756F34">
        <w:rPr>
          <w:rFonts w:eastAsia="Times New Roman" w:cs="Times New Roman"/>
        </w:rPr>
        <w:t>will</w:t>
      </w:r>
      <w:r w:rsidR="00756F34" w:rsidRPr="5D2D8782">
        <w:rPr>
          <w:rFonts w:eastAsia="Times New Roman" w:cs="Times New Roman"/>
        </w:rPr>
        <w:t xml:space="preserve"> </w:t>
      </w:r>
      <w:r w:rsidR="406D5864" w:rsidRPr="5D2D8782">
        <w:rPr>
          <w:rFonts w:eastAsia="Times New Roman" w:cs="Times New Roman"/>
        </w:rPr>
        <w:t xml:space="preserve">be paid in full until such expenses exhaust the allocation amount.  Thereafter, </w:t>
      </w:r>
      <w:r w:rsidR="001D0BE9">
        <w:rPr>
          <w:rFonts w:eastAsia="Times New Roman" w:cs="Times New Roman"/>
        </w:rPr>
        <w:t xml:space="preserve">if </w:t>
      </w:r>
      <w:r w:rsidR="406D5864" w:rsidRPr="5D2D8782">
        <w:rPr>
          <w:rFonts w:eastAsia="Times New Roman" w:cs="Times New Roman"/>
        </w:rPr>
        <w:t>additional expenses</w:t>
      </w:r>
      <w:r w:rsidR="00956D02">
        <w:rPr>
          <w:rFonts w:eastAsia="Times New Roman" w:cs="Times New Roman"/>
        </w:rPr>
        <w:t xml:space="preserve"> exceed the current verified estimate, expenses</w:t>
      </w:r>
      <w:r w:rsidR="406D5864" w:rsidRPr="5D2D8782">
        <w:rPr>
          <w:rFonts w:eastAsia="Times New Roman" w:cs="Times New Roman"/>
        </w:rPr>
        <w:t xml:space="preserve"> will be paid </w:t>
      </w:r>
      <w:r w:rsidR="00756F34">
        <w:rPr>
          <w:rFonts w:eastAsia="Times New Roman" w:cs="Times New Roman"/>
        </w:rPr>
        <w:t xml:space="preserve">only </w:t>
      </w:r>
      <w:r w:rsidR="406D5864" w:rsidRPr="5D2D8782">
        <w:rPr>
          <w:rFonts w:eastAsia="Times New Roman" w:cs="Times New Roman"/>
        </w:rPr>
        <w:t xml:space="preserve">after subsequent allocations are </w:t>
      </w:r>
      <w:r w:rsidR="00956D02">
        <w:rPr>
          <w:rFonts w:eastAsia="Times New Roman" w:cs="Times New Roman"/>
        </w:rPr>
        <w:t>adjusted by the Commission</w:t>
      </w:r>
      <w:r w:rsidR="406D5864" w:rsidRPr="5D2D8782">
        <w:rPr>
          <w:rFonts w:eastAsia="Times New Roman" w:cs="Times New Roman"/>
        </w:rPr>
        <w:t>.</w:t>
      </w:r>
    </w:p>
    <w:p w14:paraId="3BE7F3B2" w14:textId="77777777" w:rsidR="00B87928" w:rsidRPr="00A90C18" w:rsidRDefault="00FD0262" w:rsidP="00A90C18">
      <w:pPr>
        <w:pStyle w:val="Heading1"/>
        <w:rPr>
          <w:rStyle w:val="Heading1Char"/>
          <w:rFonts w:ascii="Times New Roman" w:hAnsi="Times New Roman"/>
          <w:color w:val="auto"/>
          <w:sz w:val="28"/>
        </w:rPr>
      </w:pPr>
      <w:bookmarkStart w:id="11" w:name="_Toc38456180"/>
      <w:r w:rsidRPr="00A90C18">
        <w:rPr>
          <w:rStyle w:val="Heading1Char"/>
          <w:rFonts w:ascii="Times New Roman" w:hAnsi="Times New Roman"/>
          <w:color w:val="auto"/>
          <w:sz w:val="28"/>
        </w:rPr>
        <w:t>Reimbursable Expenses</w:t>
      </w:r>
      <w:bookmarkStart w:id="12" w:name="_Hlk17115171"/>
      <w:bookmarkEnd w:id="11"/>
    </w:p>
    <w:p w14:paraId="6C4F5476" w14:textId="77777777" w:rsidR="00882B21" w:rsidRPr="00882B21" w:rsidRDefault="00882B21" w:rsidP="00A90C18"/>
    <w:p w14:paraId="3088EAA5" w14:textId="77777777" w:rsidR="00B87928" w:rsidRPr="001B4F3C" w:rsidRDefault="00FD0262" w:rsidP="00A90C18">
      <w:pPr>
        <w:pStyle w:val="Heading3"/>
      </w:pPr>
      <w:r w:rsidRPr="001B4F3C">
        <w:t>How does a station submit claims for reimbursement of expenses?</w:t>
      </w:r>
    </w:p>
    <w:p w14:paraId="4F3CD9E4" w14:textId="77777777" w:rsidR="00B87928" w:rsidRDefault="00FD0262">
      <w:pPr>
        <w:rPr>
          <w:rFonts w:cs="Times New Roman"/>
          <w:szCs w:val="24"/>
        </w:rPr>
      </w:pPr>
      <w:r w:rsidRPr="001B4F3C">
        <w:rPr>
          <w:rFonts w:cs="Times New Roman"/>
          <w:szCs w:val="24"/>
        </w:rPr>
        <w:t>Stations must submit FCC Form 2100, Schedule 399 (Reimbursement Form or Form 399) accessible via LMS.</w:t>
      </w:r>
    </w:p>
    <w:p w14:paraId="1D3CC85C" w14:textId="77777777" w:rsidR="00882B21" w:rsidRPr="001B4F3C" w:rsidRDefault="00882B21">
      <w:pPr>
        <w:rPr>
          <w:rFonts w:cs="Times New Roman"/>
          <w:szCs w:val="24"/>
        </w:rPr>
      </w:pPr>
    </w:p>
    <w:bookmarkEnd w:id="12"/>
    <w:p w14:paraId="03E96471" w14:textId="3A716B95" w:rsidR="00B87928" w:rsidRPr="001B4F3C" w:rsidRDefault="00FD0262" w:rsidP="006012D3">
      <w:pPr>
        <w:pStyle w:val="Heading3"/>
        <w:spacing w:before="0"/>
      </w:pPr>
      <w:r w:rsidRPr="6C2CFDEA">
        <w:t>What standard will be applied to determine whether a cost is reimbursable?</w:t>
      </w:r>
    </w:p>
    <w:p w14:paraId="16D50076" w14:textId="77777777" w:rsidR="00B87928" w:rsidRPr="001B4F3C" w:rsidRDefault="00FD0262">
      <w:pPr>
        <w:pStyle w:val="BodyText"/>
        <w:spacing w:before="0"/>
        <w:rPr>
          <w:rFonts w:ascii="Times New Roman" w:hAnsi="Times New Roman"/>
          <w:sz w:val="24"/>
        </w:rPr>
      </w:pPr>
      <w:r w:rsidRPr="001B4F3C">
        <w:rPr>
          <w:rFonts w:ascii="Times New Roman" w:hAnsi="Times New Roman"/>
          <w:sz w:val="24"/>
        </w:rPr>
        <w:t>The reimbursement approval process is designed to ensure that a station’s reasonably incurred expenses are paid, while at the same time guarding against fraud, waste, and abuse associated with the disbursement of federal funds.  Equipment and other costs necessary for an eligible LPTV/translator station to construct facilities authorized by the grant of the station’s Special Displacement Window application will be considered “reasonably incurred,” subject to the following:</w:t>
      </w:r>
    </w:p>
    <w:p w14:paraId="694F615E" w14:textId="77777777" w:rsidR="00B87928" w:rsidRPr="001B4F3C" w:rsidRDefault="00FD0262">
      <w:pPr>
        <w:pStyle w:val="BodyText"/>
        <w:numPr>
          <w:ilvl w:val="0"/>
          <w:numId w:val="14"/>
        </w:numPr>
        <w:ind w:left="720"/>
        <w:rPr>
          <w:rFonts w:ascii="Times New Roman" w:hAnsi="Times New Roman"/>
          <w:sz w:val="24"/>
        </w:rPr>
      </w:pPr>
      <w:r w:rsidRPr="001B4F3C">
        <w:rPr>
          <w:rFonts w:ascii="Times New Roman" w:hAnsi="Times New Roman"/>
          <w:sz w:val="24"/>
        </w:rPr>
        <w:t>We will not provide reimbursement for optional features beyond those already present in the station’s existing facilities.  However, we understand that some stations may not be able to replace older, legacy equipment with equipment that is precisely comparable in functionality because of advances in technology.  If the cost to replace certain equipment is reasonably incurred in order to construct facilities consistent with the station’s Special Displacement Window construction permit, we will consider reimbursing the cost of such equipment, recognizing that the equipment may include some improved functionality.</w:t>
      </w:r>
    </w:p>
    <w:p w14:paraId="3DE7C0DD" w14:textId="77777777" w:rsidR="00B87928" w:rsidRDefault="00FD0262" w:rsidP="006012D3">
      <w:pPr>
        <w:pStyle w:val="BodyText"/>
        <w:numPr>
          <w:ilvl w:val="0"/>
          <w:numId w:val="14"/>
        </w:numPr>
        <w:spacing w:before="0" w:after="0"/>
        <w:ind w:left="720"/>
        <w:rPr>
          <w:rFonts w:ascii="Times New Roman" w:hAnsi="Times New Roman"/>
          <w:sz w:val="24"/>
        </w:rPr>
      </w:pPr>
      <w:r w:rsidRPr="001B4F3C">
        <w:rPr>
          <w:rFonts w:ascii="Times New Roman" w:hAnsi="Times New Roman"/>
          <w:sz w:val="24"/>
        </w:rPr>
        <w:t xml:space="preserve">LPTV/translators should reuse their own equipment to the extent possible.  If a station seeks reimbursement for new equipment, it must provide a justification when submitting cost estimates as to why the cost to purchase new equipment – rather than modify current equipment to conform to the station’s displacement construction permit – is “reasonably incurred.”    </w:t>
      </w:r>
    </w:p>
    <w:p w14:paraId="3A268C1B" w14:textId="77777777" w:rsidR="00882B21" w:rsidRPr="001B4F3C" w:rsidRDefault="00882B21" w:rsidP="006012D3">
      <w:pPr>
        <w:pStyle w:val="BodyText"/>
        <w:spacing w:before="0" w:after="0"/>
        <w:ind w:left="360"/>
        <w:rPr>
          <w:rFonts w:ascii="Times New Roman" w:hAnsi="Times New Roman"/>
          <w:sz w:val="24"/>
        </w:rPr>
      </w:pPr>
    </w:p>
    <w:p w14:paraId="64EDC79E" w14:textId="48B61F78" w:rsidR="00B87928" w:rsidRDefault="00FD0262" w:rsidP="006012D3">
      <w:pPr>
        <w:rPr>
          <w:rFonts w:cs="Times New Roman"/>
          <w:szCs w:val="24"/>
        </w:rPr>
      </w:pPr>
      <w:r w:rsidRPr="00A90C18">
        <w:rPr>
          <w:rStyle w:val="Heading3Char"/>
        </w:rPr>
        <w:t>Does the FCC reimburse for equipment upgrades?</w:t>
      </w:r>
      <w:r w:rsidR="00A90C18" w:rsidRPr="00A90C18">
        <w:rPr>
          <w:rStyle w:val="Heading3Char"/>
        </w:rPr>
        <w:t xml:space="preserve"> </w:t>
      </w:r>
      <w:r w:rsidRPr="00A90C18">
        <w:rPr>
          <w:rStyle w:val="Heading3Char"/>
        </w:rPr>
        <w:br/>
      </w:r>
      <w:r w:rsidRPr="71D37A4B">
        <w:rPr>
          <w:rFonts w:cs="Times New Roman"/>
          <w:szCs w:val="24"/>
        </w:rPr>
        <w:t xml:space="preserve">LPTV/translator stations should repurpose their equipment to the extent possible.  The Commission will not reimburse stations for new features not already present in equipment being replaced; however, as discussed above, the Commission recognizes that some technological advances may mean some features are now standard in equipment, and therefore some upgrades may be inevitable. </w:t>
      </w:r>
    </w:p>
    <w:p w14:paraId="2C38A123" w14:textId="77777777" w:rsidR="00882B21" w:rsidRPr="001B4F3C" w:rsidRDefault="00882B21" w:rsidP="006012D3">
      <w:pPr>
        <w:rPr>
          <w:szCs w:val="24"/>
        </w:rPr>
      </w:pPr>
    </w:p>
    <w:p w14:paraId="11D038D4" w14:textId="012652CB" w:rsidR="55FAA4ED" w:rsidRPr="00A90C18" w:rsidRDefault="55FAA4ED" w:rsidP="006012D3">
      <w:pPr>
        <w:pStyle w:val="Heading3"/>
        <w:spacing w:before="0"/>
      </w:pPr>
      <w:r w:rsidRPr="00A90C18">
        <w:lastRenderedPageBreak/>
        <w:t>Can a station be reimbursed for the cost of in-house labor?</w:t>
      </w:r>
      <w:r w:rsidR="00900FCD" w:rsidRPr="00A90C18">
        <w:rPr>
          <w:rStyle w:val="FootnoteReference"/>
          <w:rFonts w:eastAsia="Times New Roman" w:cs="Times New Roman"/>
          <w:b w:val="0"/>
          <w:bCs/>
          <w:i w:val="0"/>
          <w:iCs/>
          <w:color w:val="365F91"/>
        </w:rPr>
        <w:footnoteReference w:id="12"/>
      </w:r>
    </w:p>
    <w:p w14:paraId="6C0A93E1" w14:textId="477350BB" w:rsidR="55FAA4ED" w:rsidRPr="00A90C18" w:rsidRDefault="55FAA4ED" w:rsidP="006012D3">
      <w:pPr>
        <w:rPr>
          <w:rFonts w:eastAsia="Times New Roman" w:cs="Times New Roman"/>
          <w:szCs w:val="24"/>
        </w:rPr>
      </w:pPr>
      <w:r w:rsidRPr="00A90C18">
        <w:rPr>
          <w:rFonts w:eastAsia="Times New Roman" w:cs="Times New Roman"/>
          <w:szCs w:val="24"/>
        </w:rPr>
        <w:t xml:space="preserve">Reimbursement for the cost of the salary of a LPTV/Translator internal employee for the time he or she works exclusively on tasks directly related to the station’s channel change may be available. </w:t>
      </w:r>
      <w:r w:rsidR="000C57EE">
        <w:rPr>
          <w:rFonts w:eastAsia="Times New Roman" w:cs="Times New Roman"/>
          <w:szCs w:val="24"/>
        </w:rPr>
        <w:t xml:space="preserve"> </w:t>
      </w:r>
      <w:r w:rsidRPr="00A90C18">
        <w:rPr>
          <w:rFonts w:eastAsia="Times New Roman" w:cs="Times New Roman"/>
          <w:szCs w:val="24"/>
        </w:rPr>
        <w:t xml:space="preserve">A station will have to submit documentation showing hourly rates, time spent on channel transition work, and other information </w:t>
      </w:r>
      <w:r w:rsidR="00756F34">
        <w:rPr>
          <w:rFonts w:eastAsia="Times New Roman" w:cs="Times New Roman"/>
          <w:szCs w:val="24"/>
        </w:rPr>
        <w:t xml:space="preserve">as detailed in the question below </w:t>
      </w:r>
      <w:r w:rsidRPr="00A90C18">
        <w:rPr>
          <w:rFonts w:eastAsia="Times New Roman" w:cs="Times New Roman"/>
          <w:szCs w:val="24"/>
        </w:rPr>
        <w:t xml:space="preserve">that will allow the Fund Administrator, and any program auditors, to substantiate the cost incurred by the station.  </w:t>
      </w:r>
    </w:p>
    <w:p w14:paraId="43034383" w14:textId="77777777" w:rsidR="00882B21" w:rsidRPr="00A90C18" w:rsidRDefault="00882B21" w:rsidP="006012D3">
      <w:pPr>
        <w:rPr>
          <w:rFonts w:eastAsia="Times New Roman" w:cs="Times New Roman"/>
          <w:b/>
          <w:bCs/>
          <w:i/>
          <w:iCs/>
          <w:color w:val="1F497D"/>
          <w:szCs w:val="24"/>
        </w:rPr>
      </w:pPr>
    </w:p>
    <w:p w14:paraId="3026D4B6" w14:textId="3C7D7B1D" w:rsidR="55FAA4ED" w:rsidRDefault="55FAA4ED" w:rsidP="00A90C18">
      <w:pPr>
        <w:pStyle w:val="Heading3"/>
        <w:rPr>
          <w:color w:val="1F497D"/>
        </w:rPr>
      </w:pPr>
      <w:r w:rsidRPr="71D37A4B">
        <w:t>What documentation is required when seeking reimbursement for in-house labor?</w:t>
      </w:r>
      <w:r w:rsidR="00900FCD">
        <w:rPr>
          <w:rStyle w:val="FootnoteReference"/>
          <w:rFonts w:eastAsia="Times New Roman" w:cs="Times New Roman"/>
          <w:b w:val="0"/>
          <w:bCs/>
          <w:i w:val="0"/>
          <w:iCs/>
          <w:color w:val="365F91"/>
        </w:rPr>
        <w:footnoteReference w:id="13"/>
      </w:r>
    </w:p>
    <w:p w14:paraId="179E1594" w14:textId="455EEB08" w:rsidR="55FAA4ED" w:rsidRPr="00A90C18" w:rsidRDefault="55FAA4ED" w:rsidP="006012D3">
      <w:pPr>
        <w:spacing w:after="120"/>
        <w:rPr>
          <w:rFonts w:eastAsia="Times New Roman" w:cs="Times New Roman"/>
          <w:szCs w:val="24"/>
        </w:rPr>
      </w:pPr>
      <w:r w:rsidRPr="00A90C18">
        <w:rPr>
          <w:rFonts w:eastAsia="Times New Roman" w:cs="Times New Roman"/>
          <w:szCs w:val="24"/>
        </w:rPr>
        <w:t>For internal labor costs to be reimbursable, they must be entirely related to the LPTV/Translator’s transition efforts, (</w:t>
      </w:r>
      <w:r w:rsidRPr="00A90C18">
        <w:rPr>
          <w:rFonts w:eastAsia="Times New Roman" w:cs="Times New Roman"/>
          <w:i/>
          <w:iCs/>
          <w:szCs w:val="24"/>
        </w:rPr>
        <w:t>e.g</w:t>
      </w:r>
      <w:r w:rsidRPr="00A90C18">
        <w:rPr>
          <w:rFonts w:eastAsia="Times New Roman" w:cs="Times New Roman"/>
          <w:szCs w:val="24"/>
        </w:rPr>
        <w:t>., the costs would not have been incurred “but for” the repacking process).  Normal system maintenance and administration activities are not reimbursable.  All internal labor costs that an entity expects to incur in conjunction with the repack and for which it intends to seek reimbursement must be included in its cost estimate.</w:t>
      </w:r>
    </w:p>
    <w:p w14:paraId="63B4D6AF" w14:textId="16AF6B65" w:rsidR="55FAA4ED" w:rsidRPr="00A90C18" w:rsidRDefault="55FAA4ED" w:rsidP="71D37A4B">
      <w:pPr>
        <w:spacing w:before="120" w:after="120"/>
        <w:rPr>
          <w:rFonts w:eastAsia="Times New Roman" w:cs="Times New Roman"/>
          <w:szCs w:val="24"/>
        </w:rPr>
      </w:pPr>
      <w:r w:rsidRPr="00A90C18">
        <w:rPr>
          <w:rFonts w:eastAsia="Times New Roman" w:cs="Times New Roman"/>
          <w:szCs w:val="24"/>
        </w:rPr>
        <w:t>When filing cost estimates, internal labor costs should be estimated on a “per hour” basis for each repacking task.  The cost estimate for each task will equal the estimate of the total hours per task multiplied by the “per hour” internal labor rate, which may include salary, benefits, and overhead allocations.</w:t>
      </w:r>
    </w:p>
    <w:p w14:paraId="7F006C45" w14:textId="12EFC6B0" w:rsidR="55FAA4ED" w:rsidRPr="00A90C18" w:rsidRDefault="55FAA4ED" w:rsidP="71D37A4B">
      <w:pPr>
        <w:spacing w:before="120" w:after="120"/>
        <w:rPr>
          <w:rFonts w:eastAsia="Times New Roman" w:cs="Times New Roman"/>
          <w:szCs w:val="24"/>
        </w:rPr>
      </w:pPr>
      <w:r w:rsidRPr="00A90C18">
        <w:rPr>
          <w:rFonts w:eastAsia="Times New Roman" w:cs="Times New Roman"/>
          <w:szCs w:val="24"/>
        </w:rPr>
        <w:t xml:space="preserve">If a LPTV/Translator’s cost estimate includes internal labor costs, it should upload the following supporting documentation to its estimate: </w:t>
      </w:r>
    </w:p>
    <w:p w14:paraId="4C7FD45A" w14:textId="7CE9C7B6" w:rsidR="55FAA4ED" w:rsidRPr="00A90C18" w:rsidRDefault="55FAA4ED" w:rsidP="00A90C18">
      <w:pPr>
        <w:pStyle w:val="ListParagraph"/>
        <w:numPr>
          <w:ilvl w:val="0"/>
          <w:numId w:val="18"/>
        </w:numPr>
        <w:spacing w:before="120" w:after="120"/>
        <w:rPr>
          <w:rFonts w:eastAsia="Times New Roman" w:cs="Times New Roman"/>
          <w:szCs w:val="24"/>
        </w:rPr>
      </w:pPr>
      <w:r w:rsidRPr="00A90C18">
        <w:rPr>
          <w:rFonts w:eastAsia="Times New Roman" w:cs="Times New Roman"/>
          <w:szCs w:val="24"/>
        </w:rPr>
        <w:t>A listing of the tasks it expects to perform during the repack, including the estimated hours per task, the internal labor rate to be applied, and the total dollar amount for the task; and</w:t>
      </w:r>
    </w:p>
    <w:p w14:paraId="15BA0673" w14:textId="4705B009" w:rsidR="55FAA4ED" w:rsidRPr="00A90C18" w:rsidRDefault="55FAA4ED" w:rsidP="00A90C18">
      <w:pPr>
        <w:pStyle w:val="ListParagraph"/>
        <w:numPr>
          <w:ilvl w:val="0"/>
          <w:numId w:val="18"/>
        </w:numPr>
        <w:spacing w:before="120" w:after="120"/>
        <w:rPr>
          <w:rFonts w:eastAsia="Times New Roman" w:cs="Times New Roman"/>
          <w:szCs w:val="24"/>
        </w:rPr>
      </w:pPr>
      <w:r w:rsidRPr="00A90C18">
        <w:rPr>
          <w:rFonts w:eastAsia="Times New Roman" w:cs="Times New Roman"/>
          <w:szCs w:val="24"/>
        </w:rPr>
        <w:t xml:space="preserve">A breakdown of how each internal labor rate is calculated, showing the salary, benefits, and overhead amounts.  </w:t>
      </w:r>
    </w:p>
    <w:p w14:paraId="71E725F5" w14:textId="02E3EE3F" w:rsidR="55FAA4ED" w:rsidRPr="00A90C18" w:rsidRDefault="55FAA4ED" w:rsidP="00A90C18">
      <w:pPr>
        <w:spacing w:before="120" w:after="120"/>
        <w:rPr>
          <w:rFonts w:eastAsia="Times New Roman" w:cs="Times New Roman"/>
          <w:szCs w:val="24"/>
        </w:rPr>
      </w:pPr>
      <w:r w:rsidRPr="00A90C18">
        <w:rPr>
          <w:rFonts w:eastAsia="Times New Roman" w:cs="Times New Roman"/>
          <w:szCs w:val="24"/>
        </w:rPr>
        <w:t xml:space="preserve">In its review and assignment of an allocation, the Media Bureau will exercise its discretion in determining the reasonableness of hours and/or labor rates. </w:t>
      </w:r>
    </w:p>
    <w:p w14:paraId="2466091C" w14:textId="171DB5D8" w:rsidR="55FAA4ED" w:rsidRPr="00A90C18" w:rsidRDefault="55FAA4ED" w:rsidP="71D37A4B">
      <w:pPr>
        <w:spacing w:before="120" w:after="120"/>
        <w:rPr>
          <w:rFonts w:eastAsia="Times New Roman" w:cs="Times New Roman"/>
          <w:szCs w:val="24"/>
        </w:rPr>
      </w:pPr>
      <w:r w:rsidRPr="00A90C18">
        <w:rPr>
          <w:rFonts w:eastAsia="Times New Roman" w:cs="Times New Roman"/>
          <w:szCs w:val="24"/>
        </w:rPr>
        <w:t>When submitting actual costs for reimbursement for internal labor, a L</w:t>
      </w:r>
      <w:r w:rsidR="3E1A8939" w:rsidRPr="00A90C18">
        <w:rPr>
          <w:rFonts w:eastAsia="Times New Roman" w:cs="Times New Roman"/>
          <w:szCs w:val="24"/>
        </w:rPr>
        <w:t>PTV/Translator</w:t>
      </w:r>
      <w:r w:rsidRPr="00A90C18">
        <w:rPr>
          <w:rFonts w:eastAsia="Times New Roman" w:cs="Times New Roman"/>
          <w:szCs w:val="24"/>
        </w:rPr>
        <w:t xml:space="preserve"> should provide the following documents (in place of an invoice from a third-party vendor): </w:t>
      </w:r>
    </w:p>
    <w:p w14:paraId="5618CB57" w14:textId="4D84D70D" w:rsidR="55FAA4ED" w:rsidRPr="00A90C18" w:rsidRDefault="55FAA4ED" w:rsidP="00A90C18">
      <w:pPr>
        <w:pStyle w:val="ListParagraph"/>
        <w:numPr>
          <w:ilvl w:val="0"/>
          <w:numId w:val="18"/>
        </w:numPr>
        <w:spacing w:before="120" w:after="120"/>
        <w:rPr>
          <w:rFonts w:eastAsia="Times New Roman" w:cs="Times New Roman"/>
          <w:szCs w:val="24"/>
        </w:rPr>
      </w:pPr>
      <w:r w:rsidRPr="00A90C18">
        <w:rPr>
          <w:rFonts w:eastAsia="Times New Roman" w:cs="Times New Roman"/>
          <w:szCs w:val="24"/>
        </w:rPr>
        <w:t>A report listing the hours incurred for each repacking task, the applicable labor rate, and the resulting dollar cost; and</w:t>
      </w:r>
    </w:p>
    <w:p w14:paraId="6147C1D8" w14:textId="39A9B83E" w:rsidR="55FAA4ED" w:rsidRPr="00A90C18" w:rsidRDefault="55FAA4ED" w:rsidP="14267BFB">
      <w:pPr>
        <w:pStyle w:val="ListParagraph"/>
        <w:numPr>
          <w:ilvl w:val="0"/>
          <w:numId w:val="18"/>
        </w:numPr>
        <w:spacing w:before="120" w:after="120"/>
        <w:rPr>
          <w:rFonts w:eastAsia="Times New Roman" w:cs="Times New Roman"/>
        </w:rPr>
      </w:pPr>
      <w:r w:rsidRPr="14267BFB">
        <w:rPr>
          <w:rFonts w:eastAsia="Times New Roman" w:cs="Times New Roman"/>
        </w:rPr>
        <w:t>Copies of employee timesheets showing hours worked on each repacking task, by day. Timesheet hours must match the totals reported by the task above.  Timesheets may come from either the station’s time and expense reporting systems or can be manually prepared using spreadsheets or other means.</w:t>
      </w:r>
    </w:p>
    <w:p w14:paraId="73D80688" w14:textId="47A9F5F2" w:rsidR="55FAA4ED" w:rsidRDefault="55FAA4ED" w:rsidP="006012D3">
      <w:pPr>
        <w:rPr>
          <w:rFonts w:eastAsia="Times New Roman" w:cs="Times New Roman"/>
          <w:szCs w:val="24"/>
        </w:rPr>
      </w:pPr>
      <w:r w:rsidRPr="00A90C18">
        <w:rPr>
          <w:rFonts w:eastAsia="Times New Roman" w:cs="Times New Roman"/>
          <w:szCs w:val="24"/>
        </w:rPr>
        <w:t>During the reimbursement period or at account closing, the Fund Administrator and/or Media Bureau may request additional supporting information for internal labor costs, such as payroll, human resources, or financial records.</w:t>
      </w:r>
    </w:p>
    <w:p w14:paraId="5E4D16CF" w14:textId="77777777" w:rsidR="009C31D7" w:rsidRDefault="009C31D7" w:rsidP="006012D3">
      <w:pPr>
        <w:rPr>
          <w:rFonts w:eastAsia="Times New Roman" w:cs="Times New Roman"/>
          <w:szCs w:val="24"/>
        </w:rPr>
      </w:pPr>
    </w:p>
    <w:p w14:paraId="24D44B39" w14:textId="6B04F12C" w:rsidR="55FAA4ED" w:rsidRDefault="55FAA4ED" w:rsidP="006012D3">
      <w:pPr>
        <w:pStyle w:val="Heading3"/>
        <w:spacing w:before="0"/>
        <w:rPr>
          <w:color w:val="1F497D"/>
        </w:rPr>
      </w:pPr>
      <w:r w:rsidRPr="71D37A4B">
        <w:t>Are interim facilities reimbursable?</w:t>
      </w:r>
      <w:r w:rsidR="00900FCD" w:rsidRPr="009C31D7">
        <w:rPr>
          <w:rStyle w:val="FootnoteReference"/>
          <w:rFonts w:eastAsia="Times New Roman" w:cs="Times New Roman"/>
          <w:i w:val="0"/>
          <w:iCs/>
          <w:color w:val="365F91"/>
        </w:rPr>
        <w:footnoteReference w:id="14"/>
      </w:r>
    </w:p>
    <w:p w14:paraId="1B434662" w14:textId="3F0DEFED" w:rsidR="567AAA7C" w:rsidRDefault="567AAA7C" w:rsidP="006012D3">
      <w:pPr>
        <w:rPr>
          <w:rFonts w:cs="Times New Roman"/>
          <w:szCs w:val="24"/>
        </w:rPr>
      </w:pPr>
      <w:r w:rsidRPr="71D37A4B">
        <w:rPr>
          <w:rFonts w:cs="Times New Roman"/>
          <w:szCs w:val="24"/>
        </w:rPr>
        <w:t>While we think it is unlikely that LPTV</w:t>
      </w:r>
      <w:r w:rsidR="000C57EE">
        <w:rPr>
          <w:rFonts w:cs="Times New Roman"/>
          <w:szCs w:val="24"/>
        </w:rPr>
        <w:t>/Translator</w:t>
      </w:r>
      <w:r w:rsidRPr="71D37A4B">
        <w:rPr>
          <w:rFonts w:cs="Times New Roman"/>
          <w:szCs w:val="24"/>
        </w:rPr>
        <w:t xml:space="preserve"> stations will need interim facilities, we will consider on a case-by-case basis whether expenses for interim facilities are eligible for reimbursement under the REA for LPTV/</w:t>
      </w:r>
      <w:r w:rsidR="000C57EE">
        <w:rPr>
          <w:rFonts w:cs="Times New Roman"/>
          <w:szCs w:val="24"/>
        </w:rPr>
        <w:t>T</w:t>
      </w:r>
      <w:r w:rsidRPr="71D37A4B">
        <w:rPr>
          <w:rFonts w:cs="Times New Roman"/>
          <w:szCs w:val="24"/>
        </w:rPr>
        <w:t>ranslator stations.</w:t>
      </w:r>
    </w:p>
    <w:p w14:paraId="2430D296" w14:textId="77777777" w:rsidR="00882B21" w:rsidRDefault="00882B21" w:rsidP="006012D3">
      <w:pPr>
        <w:rPr>
          <w:rFonts w:cs="Times New Roman"/>
          <w:szCs w:val="24"/>
        </w:rPr>
      </w:pPr>
    </w:p>
    <w:p w14:paraId="6BC4B7D0" w14:textId="6B05C54F" w:rsidR="130C9DC4" w:rsidRDefault="130C9DC4" w:rsidP="006012D3">
      <w:pPr>
        <w:rPr>
          <w:szCs w:val="24"/>
        </w:rPr>
      </w:pPr>
      <w:r w:rsidRPr="00A90C18">
        <w:rPr>
          <w:rStyle w:val="Heading3Char"/>
        </w:rPr>
        <w:t>Are lost revenues reimbursable under the REA?</w:t>
      </w:r>
      <w:r w:rsidR="000E29A1" w:rsidRPr="00A90C18">
        <w:rPr>
          <w:rStyle w:val="Heading3Char"/>
        </w:rPr>
        <w:t xml:space="preserve"> </w:t>
      </w:r>
      <w:r w:rsidRPr="00A90C18">
        <w:rPr>
          <w:rStyle w:val="Heading3Char"/>
        </w:rPr>
        <w:br/>
      </w:r>
      <w:r w:rsidRPr="71D37A4B">
        <w:rPr>
          <w:rFonts w:cs="Times New Roman"/>
          <w:szCs w:val="24"/>
        </w:rPr>
        <w:t>No.  The REA explicitly prohibits reimbursement of lost revenues.</w:t>
      </w:r>
    </w:p>
    <w:p w14:paraId="3D5518A4" w14:textId="1BC6BC4B" w:rsidR="71D37A4B" w:rsidRDefault="71D37A4B" w:rsidP="006012D3">
      <w:pPr>
        <w:rPr>
          <w:rFonts w:eastAsia="Times New Roman" w:cs="Times New Roman"/>
        </w:rPr>
      </w:pPr>
    </w:p>
    <w:p w14:paraId="5568ECC5" w14:textId="14BA22EE" w:rsidR="036AF05D" w:rsidRDefault="036AF05D" w:rsidP="006012D3">
      <w:pPr>
        <w:pStyle w:val="Heading3"/>
        <w:spacing w:before="0"/>
      </w:pPr>
      <w:r>
        <w:t>Are incidental items or materials that have residual value purchased by a station reimbursable?</w:t>
      </w:r>
      <w:r w:rsidR="00900FCD">
        <w:rPr>
          <w:rStyle w:val="FootnoteReference"/>
          <w:rFonts w:eastAsia="Times New Roman" w:cs="Times New Roman"/>
        </w:rPr>
        <w:footnoteReference w:id="15"/>
      </w:r>
    </w:p>
    <w:p w14:paraId="57204E2E" w14:textId="06F916B9" w:rsidR="036AF05D" w:rsidRPr="0097617D" w:rsidRDefault="036AF05D" w:rsidP="006012D3">
      <w:pPr>
        <w:rPr>
          <w:rFonts w:eastAsia="Times New Roman" w:cs="Times New Roman"/>
          <w:szCs w:val="24"/>
        </w:rPr>
      </w:pPr>
      <w:r w:rsidRPr="0097617D">
        <w:rPr>
          <w:rFonts w:eastAsia="Times New Roman" w:cs="Times New Roman"/>
          <w:szCs w:val="24"/>
        </w:rPr>
        <w:t>Entities may request reimbursement for items that have a residual value or useful life that exceeds the repack construction timeline if those items relate directly to the installation of the new plant necessary to transmit on the new frequency.  Otherwise, incidental items and materials are not reimbursable.</w:t>
      </w:r>
    </w:p>
    <w:p w14:paraId="08F0A80A" w14:textId="77777777" w:rsidR="00882B21" w:rsidRDefault="00882B21" w:rsidP="006012D3">
      <w:pPr>
        <w:rPr>
          <w:rFonts w:eastAsia="Times New Roman" w:cs="Times New Roman"/>
        </w:rPr>
      </w:pPr>
    </w:p>
    <w:p w14:paraId="43E769C9" w14:textId="43DAB10B" w:rsidR="66FFA334" w:rsidRDefault="66FFA334" w:rsidP="00A90C18">
      <w:pPr>
        <w:pStyle w:val="Heading3"/>
      </w:pPr>
      <w:r w:rsidRPr="5CC230E4">
        <w:t>Can I be reimbursed for vendor travel expenses?  If so, how should I submit travel expenses for reimbursement?</w:t>
      </w:r>
      <w:r w:rsidR="00900FCD" w:rsidRPr="009C31D7">
        <w:rPr>
          <w:rStyle w:val="FootnoteReference"/>
          <w:rFonts w:eastAsia="Times New Roman" w:cs="Times New Roman"/>
          <w:i w:val="0"/>
          <w:iCs/>
          <w:color w:val="365F91"/>
        </w:rPr>
        <w:footnoteReference w:id="16"/>
      </w:r>
    </w:p>
    <w:p w14:paraId="348A0583" w14:textId="0E9EB832" w:rsidR="66FFA334" w:rsidRPr="00DC01A6" w:rsidRDefault="66FFA334" w:rsidP="00DC01A6">
      <w:pPr>
        <w:rPr>
          <w:rFonts w:eastAsia="Times New Roman" w:cs="Times New Roman"/>
          <w:szCs w:val="24"/>
        </w:rPr>
      </w:pPr>
      <w:r w:rsidRPr="00DC01A6">
        <w:rPr>
          <w:rFonts w:eastAsia="Times New Roman" w:cs="Times New Roman"/>
          <w:szCs w:val="24"/>
        </w:rPr>
        <w:t>Vendor travel expenses (</w:t>
      </w:r>
      <w:r w:rsidRPr="00DC01A6">
        <w:rPr>
          <w:rFonts w:eastAsia="Times New Roman" w:cs="Times New Roman"/>
          <w:i/>
          <w:iCs/>
          <w:szCs w:val="24"/>
        </w:rPr>
        <w:t>e.g.</w:t>
      </w:r>
      <w:r w:rsidRPr="00DC01A6">
        <w:rPr>
          <w:rFonts w:eastAsia="Times New Roman" w:cs="Times New Roman"/>
          <w:szCs w:val="24"/>
        </w:rPr>
        <w:t xml:space="preserve">, meals, airfare, mileage,) not included in a vendor’s rates are eligible for reimbursement provided they are reasonable.  All stand-alone travel expenses submitted for reimbursement must be itemized.  Consistent with IRS guidelines, you must also submit </w:t>
      </w:r>
      <w:r w:rsidRPr="00DC01A6">
        <w:rPr>
          <w:rFonts w:eastAsia="Times New Roman" w:cs="Times New Roman"/>
          <w:i/>
          <w:iCs/>
          <w:szCs w:val="24"/>
        </w:rPr>
        <w:t>receipts</w:t>
      </w:r>
      <w:r w:rsidRPr="00DC01A6">
        <w:rPr>
          <w:rFonts w:eastAsia="Times New Roman" w:cs="Times New Roman"/>
          <w:szCs w:val="24"/>
        </w:rPr>
        <w:t xml:space="preserve"> for any travel expense greater than $75.00.  As such, please include receipts for travel expenses as an attachment to the particular cost component on the Form 399 with which the travel expense is associated, in addition to the underlying invoice for the service rendered. </w:t>
      </w:r>
    </w:p>
    <w:p w14:paraId="1864AB97" w14:textId="77777777" w:rsidR="00DC01A6" w:rsidRPr="009C31D7" w:rsidRDefault="00DC01A6" w:rsidP="00DC01A6">
      <w:pPr>
        <w:rPr>
          <w:rFonts w:eastAsia="Times New Roman" w:cs="Times New Roman"/>
          <w:szCs w:val="24"/>
        </w:rPr>
      </w:pPr>
    </w:p>
    <w:p w14:paraId="4B397756" w14:textId="7422B175" w:rsidR="66FFA334" w:rsidRPr="009C31D7" w:rsidRDefault="66FFA334" w:rsidP="00DC01A6">
      <w:pPr>
        <w:rPr>
          <w:rFonts w:eastAsia="Times New Roman" w:cs="Times New Roman"/>
          <w:szCs w:val="24"/>
        </w:rPr>
      </w:pPr>
      <w:r w:rsidRPr="009C31D7">
        <w:rPr>
          <w:rFonts w:eastAsia="Times New Roman" w:cs="Times New Roman"/>
          <w:szCs w:val="24"/>
        </w:rPr>
        <w:t>Alternatively, expenses for meals and incidentals can be billed on a per diem basis. The per diem amount should be in accordance with the approved government per diem rates</w:t>
      </w:r>
      <w:r w:rsidR="00756F34">
        <w:rPr>
          <w:rFonts w:eastAsia="Times New Roman" w:cs="Times New Roman"/>
          <w:szCs w:val="24"/>
        </w:rPr>
        <w:t xml:space="preserve"> in effect when the work was performed</w:t>
      </w:r>
      <w:r w:rsidRPr="009C31D7">
        <w:rPr>
          <w:rFonts w:eastAsia="Times New Roman" w:cs="Times New Roman"/>
          <w:szCs w:val="24"/>
        </w:rPr>
        <w:t xml:space="preserve"> (available at the </w:t>
      </w:r>
      <w:hyperlink r:id="rId12" w:history="1">
        <w:r w:rsidRPr="009C31D7">
          <w:rPr>
            <w:rStyle w:val="Hyperlink"/>
            <w:rFonts w:eastAsia="Times New Roman" w:cs="Times New Roman"/>
            <w:szCs w:val="24"/>
          </w:rPr>
          <w:t>GSA website</w:t>
        </w:r>
      </w:hyperlink>
      <w:r w:rsidRPr="009C31D7">
        <w:rPr>
          <w:rFonts w:eastAsia="Times New Roman" w:cs="Times New Roman"/>
          <w:szCs w:val="24"/>
        </w:rPr>
        <w:t>) for the location where the work was completed.</w:t>
      </w:r>
    </w:p>
    <w:p w14:paraId="23614DA3" w14:textId="77777777" w:rsidR="00882B21" w:rsidRPr="009C31D7" w:rsidRDefault="00882B21" w:rsidP="006012D3">
      <w:pPr>
        <w:spacing w:line="259" w:lineRule="auto"/>
        <w:rPr>
          <w:rFonts w:eastAsia="Times New Roman" w:cs="Times New Roman"/>
          <w:szCs w:val="24"/>
        </w:rPr>
      </w:pPr>
    </w:p>
    <w:p w14:paraId="44E6162D" w14:textId="58022F2B" w:rsidR="09DC12F8" w:rsidRPr="009C31D7" w:rsidRDefault="09DC12F8" w:rsidP="006012D3">
      <w:pPr>
        <w:pStyle w:val="Heading3"/>
        <w:spacing w:before="0"/>
        <w:rPr>
          <w:b w:val="0"/>
          <w:bCs/>
          <w:color w:val="1F497D"/>
        </w:rPr>
      </w:pPr>
      <w:r w:rsidRPr="009C31D7">
        <w:t>How much transmitter power is reimbursable?</w:t>
      </w:r>
      <w:r w:rsidR="00900FCD" w:rsidRPr="009C31D7">
        <w:rPr>
          <w:rStyle w:val="FootnoteReference"/>
          <w:rFonts w:eastAsia="Times New Roman" w:cs="Times New Roman"/>
          <w:i w:val="0"/>
          <w:iCs/>
          <w:color w:val="365F91"/>
        </w:rPr>
        <w:footnoteReference w:id="17"/>
      </w:r>
    </w:p>
    <w:p w14:paraId="189A7315" w14:textId="6744B6B5" w:rsidR="2E178FB3" w:rsidRPr="009C31D7" w:rsidRDefault="2E178FB3">
      <w:pPr>
        <w:rPr>
          <w:szCs w:val="24"/>
        </w:rPr>
      </w:pPr>
      <w:r w:rsidRPr="009C31D7">
        <w:rPr>
          <w:szCs w:val="24"/>
        </w:rPr>
        <w:t xml:space="preserve">Stations can be reimbursed for expenses reasonably incurred in the construction of the technical facility identified in the displacement application that the station filed in the displacement application filing window in 2018.  A station seeking reimbursement for a new transmitter should file an estimate for a transmitter sized to accommodate the transmitter power output (TPO) required to achieve the Effective Radiated Power (ERP), in the granted displacement Construction Permit Application. </w:t>
      </w:r>
      <w:r w:rsidR="000C57EE" w:rsidRPr="009C31D7">
        <w:rPr>
          <w:szCs w:val="24"/>
        </w:rPr>
        <w:t xml:space="preserve"> </w:t>
      </w:r>
      <w:r w:rsidRPr="009C31D7">
        <w:rPr>
          <w:szCs w:val="24"/>
        </w:rPr>
        <w:t>Stations should be</w:t>
      </w:r>
      <w:r w:rsidRPr="009C31D7">
        <w:rPr>
          <w:rFonts w:eastAsia="Times New Roman" w:cs="Times New Roman"/>
          <w:szCs w:val="24"/>
        </w:rPr>
        <w:t xml:space="preserve"> prepared to justify their choice of transmitter by providing the Fund Administrator, </w:t>
      </w:r>
      <w:r w:rsidR="00756F34">
        <w:rPr>
          <w:rFonts w:eastAsia="Times New Roman" w:cs="Times New Roman"/>
          <w:szCs w:val="24"/>
        </w:rPr>
        <w:t>upon</w:t>
      </w:r>
      <w:r w:rsidR="00756F34" w:rsidRPr="009C31D7">
        <w:rPr>
          <w:rFonts w:eastAsia="Times New Roman" w:cs="Times New Roman"/>
          <w:szCs w:val="24"/>
        </w:rPr>
        <w:t xml:space="preserve"> </w:t>
      </w:r>
      <w:r w:rsidRPr="009C31D7">
        <w:rPr>
          <w:rFonts w:eastAsia="Times New Roman" w:cs="Times New Roman"/>
          <w:szCs w:val="24"/>
        </w:rPr>
        <w:t xml:space="preserve">their request, with the TPO calculations used for the transmitter selection.  If the station is upgrading </w:t>
      </w:r>
      <w:r w:rsidR="00756F34">
        <w:rPr>
          <w:rFonts w:eastAsia="Times New Roman" w:cs="Times New Roman"/>
          <w:szCs w:val="24"/>
        </w:rPr>
        <w:t>its</w:t>
      </w:r>
      <w:r w:rsidR="00756F34" w:rsidRPr="009C31D7">
        <w:rPr>
          <w:rFonts w:eastAsia="Times New Roman" w:cs="Times New Roman"/>
          <w:szCs w:val="24"/>
        </w:rPr>
        <w:t xml:space="preserve"> </w:t>
      </w:r>
      <w:r w:rsidRPr="009C31D7">
        <w:rPr>
          <w:rFonts w:eastAsia="Times New Roman" w:cs="Times New Roman"/>
          <w:szCs w:val="24"/>
        </w:rPr>
        <w:t>antenna, the TPO calculations should be based on the comparable (non-upgraded) version of the antenna.</w:t>
      </w:r>
    </w:p>
    <w:p w14:paraId="0E2BE43D" w14:textId="77777777" w:rsidR="00882B21" w:rsidRPr="009C31D7" w:rsidRDefault="00882B21">
      <w:pPr>
        <w:rPr>
          <w:szCs w:val="24"/>
        </w:rPr>
      </w:pPr>
    </w:p>
    <w:p w14:paraId="00993640" w14:textId="529CD4B3" w:rsidR="5CA889F1" w:rsidRPr="009C31D7" w:rsidRDefault="5CA889F1" w:rsidP="006012D3">
      <w:pPr>
        <w:pStyle w:val="Heading3"/>
        <w:spacing w:before="0"/>
        <w:rPr>
          <w:bCs/>
          <w:iCs/>
          <w:color w:val="1F497D"/>
        </w:rPr>
      </w:pPr>
      <w:r w:rsidRPr="009C31D7">
        <w:rPr>
          <w:bCs/>
          <w:iCs/>
          <w:color w:val="365F91"/>
        </w:rPr>
        <w:lastRenderedPageBreak/>
        <w:t>Under what circumstances is new transmission line reimbursable?</w:t>
      </w:r>
      <w:r w:rsidR="00F97084" w:rsidRPr="009C31D7">
        <w:rPr>
          <w:rStyle w:val="FootnoteReference"/>
          <w:rFonts w:eastAsia="Times New Roman" w:cs="Times New Roman"/>
          <w:bCs/>
          <w:i w:val="0"/>
          <w:iCs/>
          <w:color w:val="365F91"/>
        </w:rPr>
        <w:footnoteReference w:id="18"/>
      </w:r>
    </w:p>
    <w:p w14:paraId="18040D40" w14:textId="521D3387" w:rsidR="5CA889F1" w:rsidRPr="009C31D7" w:rsidRDefault="4FD6DE00" w:rsidP="006012D3">
      <w:pPr>
        <w:rPr>
          <w:szCs w:val="24"/>
        </w:rPr>
      </w:pPr>
      <w:r w:rsidRPr="009C31D7">
        <w:rPr>
          <w:rFonts w:eastAsia="Times New Roman" w:cs="Times New Roman"/>
          <w:szCs w:val="24"/>
        </w:rPr>
        <w:t>New transmission line is reimbursable if a broadcaster’s existing rigid line section length is a prohibited length on the new channel.  See the updated Catalog of Potential Expenses and Estimated Costs (Cost Catalog) in DA-1</w:t>
      </w:r>
      <w:r w:rsidR="00B6356F" w:rsidRPr="009C31D7">
        <w:rPr>
          <w:rFonts w:eastAsia="Times New Roman" w:cs="Times New Roman"/>
          <w:szCs w:val="24"/>
        </w:rPr>
        <w:t>8</w:t>
      </w:r>
      <w:r w:rsidRPr="009C31D7">
        <w:rPr>
          <w:rFonts w:eastAsia="Times New Roman" w:cs="Times New Roman"/>
          <w:szCs w:val="24"/>
        </w:rPr>
        <w:t>-</w:t>
      </w:r>
      <w:r w:rsidR="00B6356F" w:rsidRPr="009C31D7">
        <w:rPr>
          <w:rFonts w:eastAsia="Times New Roman" w:cs="Times New Roman"/>
          <w:szCs w:val="24"/>
        </w:rPr>
        <w:t>1072</w:t>
      </w:r>
      <w:r w:rsidRPr="009C31D7">
        <w:rPr>
          <w:rFonts w:eastAsia="Times New Roman" w:cs="Times New Roman"/>
          <w:szCs w:val="24"/>
        </w:rPr>
        <w:t xml:space="preserve">A2 for Prohibited Line Lengths.  In general, flexible transmission line is broadband, and not reimbursable unless the station is moving the antenna significantly higher on the existing tower or has changed tower location.  Ordinarily, new replacement transmission line would not be reimbursed if a broadcaster’s current transmission line will accommodate the rated power output of the new transmitter, or because the existing transmission line is aged and needs replacing as a normal course of business. </w:t>
      </w:r>
    </w:p>
    <w:p w14:paraId="54A5B3ED" w14:textId="77777777" w:rsidR="00882B21" w:rsidRPr="009C31D7" w:rsidRDefault="00882B21" w:rsidP="006012D3">
      <w:pPr>
        <w:rPr>
          <w:szCs w:val="24"/>
        </w:rPr>
      </w:pPr>
    </w:p>
    <w:p w14:paraId="2C0BFE8E" w14:textId="2344A59E" w:rsidR="096BE571" w:rsidRPr="009C31D7" w:rsidRDefault="096BE571" w:rsidP="006012D3">
      <w:pPr>
        <w:pStyle w:val="Heading3"/>
        <w:spacing w:before="0"/>
        <w:rPr>
          <w:bCs/>
          <w:iCs/>
          <w:color w:val="1F497D"/>
        </w:rPr>
      </w:pPr>
      <w:r w:rsidRPr="009C31D7">
        <w:rPr>
          <w:bCs/>
          <w:iCs/>
          <w:color w:val="365F91"/>
        </w:rPr>
        <w:t>Is elliptical or circular polarization an antenna upgrade?</w:t>
      </w:r>
      <w:r w:rsidR="000E29A1" w:rsidRPr="009C31D7">
        <w:rPr>
          <w:rStyle w:val="FootnoteReference"/>
          <w:bCs/>
          <w:iCs/>
          <w:color w:val="365F91"/>
        </w:rPr>
        <w:footnoteReference w:id="19"/>
      </w:r>
      <w:r w:rsidRPr="009C31D7">
        <w:rPr>
          <w:bCs/>
          <w:iCs/>
          <w:color w:val="1F497D"/>
        </w:rPr>
        <w:t xml:space="preserve"> </w:t>
      </w:r>
    </w:p>
    <w:p w14:paraId="306CE6C0" w14:textId="69C240DD" w:rsidR="096BE571" w:rsidRDefault="096BE571" w:rsidP="003C6ED5">
      <w:pPr>
        <w:rPr>
          <w:rFonts w:eastAsia="Times New Roman" w:cs="Times New Roman"/>
          <w:szCs w:val="24"/>
        </w:rPr>
      </w:pPr>
      <w:r w:rsidRPr="009C31D7">
        <w:rPr>
          <w:rFonts w:eastAsia="Times New Roman" w:cs="Times New Roman"/>
          <w:szCs w:val="24"/>
        </w:rPr>
        <w:t xml:space="preserve">Additional vertical polarization for an E-pol or C-pol antenna is not an upgrade, if the station’s </w:t>
      </w:r>
      <w:r w:rsidR="00D94314" w:rsidRPr="009C31D7">
        <w:rPr>
          <w:rFonts w:eastAsia="Times New Roman" w:cs="Times New Roman"/>
          <w:szCs w:val="24"/>
        </w:rPr>
        <w:t>previously licensed</w:t>
      </w:r>
      <w:r w:rsidRPr="009C31D7">
        <w:rPr>
          <w:rFonts w:eastAsia="Times New Roman" w:cs="Times New Roman"/>
          <w:szCs w:val="24"/>
        </w:rPr>
        <w:t xml:space="preserve"> antenna was E-pol or C-pol.  If the </w:t>
      </w:r>
      <w:r w:rsidR="00D94314" w:rsidRPr="009C31D7">
        <w:rPr>
          <w:rFonts w:eastAsia="Times New Roman" w:cs="Times New Roman"/>
          <w:szCs w:val="24"/>
        </w:rPr>
        <w:t>previously licensed</w:t>
      </w:r>
      <w:r w:rsidRPr="009C31D7">
        <w:rPr>
          <w:rFonts w:eastAsia="Times New Roman" w:cs="Times New Roman"/>
          <w:szCs w:val="24"/>
        </w:rPr>
        <w:t xml:space="preserve"> antenna was horizontally polarized, the additional vertical polarization is an upgrade.  The station should provide a manufacturer’s quote for the baseline H-pol antenna, along with the additional cost for the upgrade.</w:t>
      </w:r>
    </w:p>
    <w:p w14:paraId="5C3F4AB4" w14:textId="77777777" w:rsidR="006B3F03" w:rsidRPr="009C31D7" w:rsidRDefault="006B3F03" w:rsidP="003C6ED5">
      <w:pPr>
        <w:rPr>
          <w:rFonts w:eastAsia="Times New Roman" w:cs="Times New Roman"/>
          <w:szCs w:val="24"/>
        </w:rPr>
      </w:pPr>
    </w:p>
    <w:p w14:paraId="118B6D5E" w14:textId="454EA2B3" w:rsidR="5CA889F1" w:rsidRPr="009C31D7" w:rsidRDefault="5CA889F1" w:rsidP="006012D3">
      <w:pPr>
        <w:rPr>
          <w:rFonts w:eastAsia="Times New Roman" w:cs="Times New Roman"/>
          <w:b/>
          <w:bCs/>
          <w:i/>
          <w:iCs/>
          <w:color w:val="1F497D"/>
          <w:szCs w:val="24"/>
        </w:rPr>
      </w:pPr>
      <w:r w:rsidRPr="009C31D7">
        <w:rPr>
          <w:rFonts w:eastAsia="Times New Roman" w:cs="Times New Roman"/>
          <w:b/>
          <w:bCs/>
          <w:i/>
          <w:iCs/>
          <w:color w:val="365F91"/>
          <w:szCs w:val="24"/>
        </w:rPr>
        <w:t>Is moving from a side-mounted antenna to a top-mounted antenna considered an upgrade?</w:t>
      </w:r>
      <w:r w:rsidR="002C185D" w:rsidRPr="009C31D7">
        <w:rPr>
          <w:rStyle w:val="FootnoteReference"/>
          <w:rFonts w:eastAsia="Times New Roman" w:cs="Times New Roman"/>
          <w:b/>
          <w:bCs/>
          <w:i/>
          <w:iCs/>
          <w:color w:val="365F91"/>
          <w:szCs w:val="24"/>
        </w:rPr>
        <w:footnoteReference w:id="20"/>
      </w:r>
    </w:p>
    <w:p w14:paraId="2414FB3C" w14:textId="34486F5F" w:rsidR="5CA889F1" w:rsidRPr="00DC01A6" w:rsidRDefault="0CADD3A5" w:rsidP="006012D3">
      <w:pPr>
        <w:rPr>
          <w:szCs w:val="24"/>
        </w:rPr>
      </w:pPr>
      <w:r w:rsidRPr="009C31D7">
        <w:rPr>
          <w:rFonts w:eastAsia="Times New Roman" w:cs="Times New Roman"/>
          <w:szCs w:val="24"/>
        </w:rPr>
        <w:t>Generally, converting from a side-mount to a top-mount antenna is an upgrade.  LPTV</w:t>
      </w:r>
      <w:r w:rsidR="000C57EE" w:rsidRPr="009C31D7">
        <w:rPr>
          <w:rFonts w:eastAsia="Times New Roman" w:cs="Times New Roman"/>
          <w:szCs w:val="24"/>
        </w:rPr>
        <w:t>/Translator</w:t>
      </w:r>
      <w:r w:rsidRPr="009C31D7">
        <w:rPr>
          <w:rFonts w:eastAsia="Times New Roman" w:cs="Times New Roman"/>
          <w:szCs w:val="24"/>
        </w:rPr>
        <w:t xml:space="preserve"> </w:t>
      </w:r>
      <w:r w:rsidR="000C57EE" w:rsidRPr="009C31D7">
        <w:rPr>
          <w:rFonts w:eastAsia="Times New Roman" w:cs="Times New Roman"/>
          <w:szCs w:val="24"/>
        </w:rPr>
        <w:t>s</w:t>
      </w:r>
      <w:r w:rsidRPr="009C31D7">
        <w:rPr>
          <w:rFonts w:eastAsia="Times New Roman" w:cs="Times New Roman"/>
          <w:szCs w:val="24"/>
        </w:rPr>
        <w:t xml:space="preserve">tations that currently have their main antenna side-mounted but wish to purchase a top-mounted antenna should indicate they are making an upgrade by checking the upgrade box in the antenna section of the Reimbursement Form.  The difference between the cost of the top-mounted antenna (and any special mounting hardware such as bury poles and wedding cake adapters) and a comparable side-mounted antenna is the upgrade amount, which is not </w:t>
      </w:r>
      <w:r w:rsidRPr="00DC01A6">
        <w:rPr>
          <w:rFonts w:eastAsia="Times New Roman" w:cs="Times New Roman"/>
          <w:szCs w:val="24"/>
        </w:rPr>
        <w:t>reimbursable but must be paid for by the LPTV</w:t>
      </w:r>
      <w:r w:rsidR="000C57EE">
        <w:rPr>
          <w:rFonts w:eastAsia="Times New Roman" w:cs="Times New Roman"/>
          <w:szCs w:val="24"/>
        </w:rPr>
        <w:t>/Translator</w:t>
      </w:r>
      <w:r w:rsidRPr="00DC01A6">
        <w:rPr>
          <w:rFonts w:eastAsia="Times New Roman" w:cs="Times New Roman"/>
          <w:szCs w:val="24"/>
        </w:rPr>
        <w:t xml:space="preserve"> station.  The station must provide a price quote from the antenna vendor that shows what a comparable side-mounted antenna would cost to calculate the upgrade amount. </w:t>
      </w:r>
    </w:p>
    <w:p w14:paraId="07090CE8" w14:textId="6A6365B7" w:rsidR="00B87928" w:rsidRDefault="00FD0262" w:rsidP="00882B21">
      <w:pPr>
        <w:pStyle w:val="Heading1"/>
        <w:rPr>
          <w:rStyle w:val="Heading1Char"/>
          <w:rFonts w:ascii="Times New Roman" w:hAnsi="Times New Roman"/>
          <w:color w:val="auto"/>
          <w:sz w:val="28"/>
          <w:szCs w:val="28"/>
        </w:rPr>
      </w:pPr>
      <w:bookmarkStart w:id="13" w:name="_Toc38456181"/>
      <w:r>
        <w:rPr>
          <w:rStyle w:val="Heading1Char"/>
          <w:rFonts w:ascii="Times New Roman" w:hAnsi="Times New Roman"/>
          <w:color w:val="auto"/>
          <w:sz w:val="28"/>
          <w:szCs w:val="28"/>
        </w:rPr>
        <w:t>Submitting Invoices</w:t>
      </w:r>
      <w:r w:rsidR="000E29A1">
        <w:rPr>
          <w:rStyle w:val="FootnoteReference"/>
          <w:szCs w:val="28"/>
        </w:rPr>
        <w:footnoteReference w:id="21"/>
      </w:r>
      <w:bookmarkEnd w:id="13"/>
    </w:p>
    <w:p w14:paraId="0F13CEC4" w14:textId="77777777" w:rsidR="00DF17E7" w:rsidRDefault="00DF17E7" w:rsidP="00DF17E7">
      <w:pPr>
        <w:spacing w:line="254" w:lineRule="auto"/>
        <w:rPr>
          <w:rFonts w:eastAsia="Times New Roman" w:cs="Times New Roman"/>
          <w:b/>
          <w:bCs/>
          <w:i/>
          <w:iCs/>
          <w:color w:val="365F91"/>
          <w:szCs w:val="24"/>
        </w:rPr>
      </w:pPr>
    </w:p>
    <w:p w14:paraId="4D79796D" w14:textId="6140D40D" w:rsidR="00DF17E7" w:rsidRPr="001B4F3C" w:rsidRDefault="00DF17E7" w:rsidP="00DF17E7">
      <w:pPr>
        <w:spacing w:line="254" w:lineRule="auto"/>
        <w:rPr>
          <w:szCs w:val="24"/>
        </w:rPr>
      </w:pPr>
      <w:r w:rsidRPr="001B4F3C">
        <w:rPr>
          <w:rFonts w:eastAsia="Times New Roman" w:cs="Times New Roman"/>
          <w:b/>
          <w:bCs/>
          <w:i/>
          <w:iCs/>
          <w:color w:val="365F91"/>
          <w:szCs w:val="24"/>
        </w:rPr>
        <w:t>Can I still revise my Cost Estimate(s)?</w:t>
      </w:r>
      <w:r w:rsidRPr="001B4F3C">
        <w:rPr>
          <w:szCs w:val="24"/>
        </w:rPr>
        <w:t xml:space="preserve"> </w:t>
      </w:r>
    </w:p>
    <w:p w14:paraId="128C3831" w14:textId="19826B08" w:rsidR="00DF17E7" w:rsidRPr="001B4F3C" w:rsidRDefault="00DF17E7" w:rsidP="00DF17E7">
      <w:pPr>
        <w:spacing w:line="254" w:lineRule="auto"/>
        <w:rPr>
          <w:rFonts w:eastAsia="Times New Roman" w:cs="Times New Roman"/>
          <w:szCs w:val="24"/>
        </w:rPr>
      </w:pPr>
      <w:r w:rsidRPr="001B4F3C">
        <w:rPr>
          <w:rFonts w:eastAsia="Times New Roman" w:cs="Times New Roman"/>
          <w:szCs w:val="24"/>
        </w:rPr>
        <w:t xml:space="preserve">Yes, you may — and indeed, should — revise your Cost Estimate(s) on the Form 399 as </w:t>
      </w:r>
      <w:r w:rsidR="00756F34">
        <w:rPr>
          <w:rFonts w:eastAsia="Times New Roman" w:cs="Times New Roman"/>
          <w:szCs w:val="24"/>
        </w:rPr>
        <w:t>often</w:t>
      </w:r>
      <w:r w:rsidRPr="001B4F3C">
        <w:rPr>
          <w:rFonts w:eastAsia="Times New Roman" w:cs="Times New Roman"/>
          <w:szCs w:val="24"/>
        </w:rPr>
        <w:t xml:space="preserve"> as necessary during the reimbursement period to accurately reflect your plans and incurred expenses.  Revise the submitted Form 399 in the same manner you originally completed the Form 399.  Simply access and edit the same Form 399 you previously completed at the estimates stage and (re)certify and (re)submit the Form 399 when you</w:t>
      </w:r>
      <w:r w:rsidR="000967DE">
        <w:rPr>
          <w:rFonts w:eastAsia="Times New Roman" w:cs="Times New Roman"/>
          <w:szCs w:val="24"/>
        </w:rPr>
        <w:t xml:space="preserve"> ha</w:t>
      </w:r>
      <w:r w:rsidRPr="001B4F3C">
        <w:rPr>
          <w:rFonts w:eastAsia="Times New Roman" w:cs="Times New Roman"/>
          <w:szCs w:val="24"/>
        </w:rPr>
        <w:t xml:space="preserve">ve finished.  </w:t>
      </w:r>
    </w:p>
    <w:p w14:paraId="2854691F" w14:textId="77777777" w:rsidR="00DF17E7" w:rsidRPr="001B4F3C" w:rsidRDefault="00DF17E7" w:rsidP="00DF17E7">
      <w:pPr>
        <w:spacing w:line="254" w:lineRule="auto"/>
        <w:rPr>
          <w:rFonts w:eastAsia="Times New Roman" w:cs="Times New Roman"/>
          <w:b/>
          <w:bCs/>
          <w:i/>
          <w:iCs/>
          <w:color w:val="365F91"/>
          <w:szCs w:val="24"/>
        </w:rPr>
      </w:pPr>
    </w:p>
    <w:p w14:paraId="4951A261" w14:textId="77777777" w:rsidR="00DF17E7" w:rsidRPr="001B4F3C" w:rsidRDefault="00DF17E7" w:rsidP="00DF17E7">
      <w:pPr>
        <w:spacing w:line="254" w:lineRule="auto"/>
        <w:rPr>
          <w:szCs w:val="24"/>
        </w:rPr>
      </w:pPr>
      <w:r w:rsidRPr="001B4F3C">
        <w:rPr>
          <w:rFonts w:eastAsia="Times New Roman" w:cs="Times New Roman"/>
          <w:b/>
          <w:bCs/>
          <w:i/>
          <w:iCs/>
          <w:color w:val="365F91"/>
          <w:szCs w:val="24"/>
        </w:rPr>
        <w:t>When can I submit actuals expenses?</w:t>
      </w:r>
      <w:r w:rsidRPr="001B4F3C">
        <w:rPr>
          <w:szCs w:val="24"/>
        </w:rPr>
        <w:t xml:space="preserve"> </w:t>
      </w:r>
    </w:p>
    <w:p w14:paraId="5BCF2E17" w14:textId="77777777" w:rsidR="00DF17E7" w:rsidRPr="001B4F3C" w:rsidRDefault="00DF17E7" w:rsidP="00DF17E7">
      <w:pPr>
        <w:spacing w:line="254" w:lineRule="auto"/>
        <w:rPr>
          <w:szCs w:val="24"/>
        </w:rPr>
      </w:pPr>
      <w:r w:rsidRPr="001B4F3C">
        <w:rPr>
          <w:rFonts w:eastAsia="Times New Roman" w:cs="Times New Roman"/>
          <w:szCs w:val="24"/>
        </w:rPr>
        <w:t>Submit documentation for your actual costs at any time after you incur</w:t>
      </w:r>
      <w:r w:rsidRPr="001B4F3C">
        <w:rPr>
          <w:rFonts w:eastAsia="Times New Roman" w:cs="Times New Roman"/>
          <w:i/>
          <w:iCs/>
          <w:szCs w:val="24"/>
        </w:rPr>
        <w:t xml:space="preserve"> </w:t>
      </w:r>
      <w:r w:rsidRPr="001B4F3C">
        <w:rPr>
          <w:rFonts w:eastAsia="Times New Roman" w:cs="Times New Roman"/>
          <w:szCs w:val="24"/>
        </w:rPr>
        <w:t xml:space="preserve">a reimbursable expense.  </w:t>
      </w:r>
    </w:p>
    <w:p w14:paraId="362813CE" w14:textId="77777777" w:rsidR="00DF17E7" w:rsidRPr="001B4F3C" w:rsidRDefault="00DF17E7" w:rsidP="00DF17E7">
      <w:pPr>
        <w:pStyle w:val="Heading2"/>
        <w:spacing w:before="0"/>
        <w:rPr>
          <w:rFonts w:ascii="Times New Roman" w:eastAsia="Times New Roman" w:hAnsi="Times New Roman"/>
          <w:b/>
          <w:bCs/>
          <w:i/>
          <w:iCs/>
          <w:color w:val="365F91"/>
          <w:sz w:val="24"/>
          <w:szCs w:val="24"/>
        </w:rPr>
      </w:pPr>
    </w:p>
    <w:p w14:paraId="3A8C8B72" w14:textId="4E79F504" w:rsidR="00DF17E7" w:rsidRPr="001B4F3C" w:rsidRDefault="00DF17E7" w:rsidP="00DF17E7">
      <w:pPr>
        <w:pStyle w:val="Heading2"/>
        <w:spacing w:before="0"/>
        <w:rPr>
          <w:sz w:val="24"/>
          <w:szCs w:val="24"/>
        </w:rPr>
      </w:pPr>
      <w:r w:rsidRPr="001B4F3C">
        <w:rPr>
          <w:rFonts w:ascii="Times New Roman" w:eastAsia="Times New Roman" w:hAnsi="Times New Roman"/>
          <w:b/>
          <w:bCs/>
          <w:i/>
          <w:iCs/>
          <w:color w:val="365F91"/>
          <w:sz w:val="24"/>
          <w:szCs w:val="24"/>
        </w:rPr>
        <w:t xml:space="preserve">Do I need to revise my </w:t>
      </w:r>
      <w:r w:rsidR="000967DE">
        <w:rPr>
          <w:rFonts w:ascii="Times New Roman" w:eastAsia="Times New Roman" w:hAnsi="Times New Roman"/>
          <w:b/>
          <w:bCs/>
          <w:i/>
          <w:iCs/>
          <w:color w:val="365F91"/>
          <w:sz w:val="24"/>
          <w:szCs w:val="24"/>
        </w:rPr>
        <w:t>c</w:t>
      </w:r>
      <w:r w:rsidRPr="001B4F3C">
        <w:rPr>
          <w:rFonts w:ascii="Times New Roman" w:eastAsia="Times New Roman" w:hAnsi="Times New Roman"/>
          <w:b/>
          <w:bCs/>
          <w:i/>
          <w:iCs/>
          <w:color w:val="365F91"/>
          <w:sz w:val="24"/>
          <w:szCs w:val="24"/>
        </w:rPr>
        <w:t xml:space="preserve">ost </w:t>
      </w:r>
      <w:r w:rsidR="000967DE">
        <w:rPr>
          <w:rFonts w:ascii="Times New Roman" w:eastAsia="Times New Roman" w:hAnsi="Times New Roman"/>
          <w:b/>
          <w:bCs/>
          <w:i/>
          <w:iCs/>
          <w:color w:val="365F91"/>
          <w:sz w:val="24"/>
          <w:szCs w:val="24"/>
        </w:rPr>
        <w:t>e</w:t>
      </w:r>
      <w:r w:rsidRPr="001B4F3C">
        <w:rPr>
          <w:rFonts w:ascii="Times New Roman" w:eastAsia="Times New Roman" w:hAnsi="Times New Roman"/>
          <w:b/>
          <w:bCs/>
          <w:i/>
          <w:iCs/>
          <w:color w:val="365F91"/>
          <w:sz w:val="24"/>
          <w:szCs w:val="24"/>
        </w:rPr>
        <w:t>stimate if my actual cost is different than the previously verified amount?</w:t>
      </w:r>
    </w:p>
    <w:p w14:paraId="3CCE6470" w14:textId="0116ECA0" w:rsidR="00DF17E7" w:rsidRPr="001B4F3C" w:rsidRDefault="00DF17E7" w:rsidP="00DF17E7">
      <w:pPr>
        <w:rPr>
          <w:szCs w:val="24"/>
        </w:rPr>
      </w:pPr>
      <w:r w:rsidRPr="001B4F3C">
        <w:rPr>
          <w:rFonts w:eastAsia="Times New Roman" w:cs="Times New Roman"/>
          <w:color w:val="000000"/>
          <w:szCs w:val="24"/>
        </w:rPr>
        <w:t xml:space="preserve">Yes, whether the amount of your </w:t>
      </w:r>
      <w:r w:rsidR="000967DE">
        <w:rPr>
          <w:rFonts w:eastAsia="Times New Roman" w:cs="Times New Roman"/>
          <w:color w:val="000000"/>
          <w:szCs w:val="24"/>
        </w:rPr>
        <w:t>c</w:t>
      </w:r>
      <w:r w:rsidRPr="001B4F3C">
        <w:rPr>
          <w:rFonts w:eastAsia="Times New Roman" w:cs="Times New Roman"/>
          <w:color w:val="000000"/>
          <w:szCs w:val="24"/>
        </w:rPr>
        <w:t>ost</w:t>
      </w:r>
      <w:r w:rsidR="000967DE">
        <w:rPr>
          <w:rFonts w:eastAsia="Times New Roman" w:cs="Times New Roman"/>
          <w:color w:val="000000"/>
          <w:szCs w:val="24"/>
        </w:rPr>
        <w:t xml:space="preserve"> e</w:t>
      </w:r>
      <w:r w:rsidRPr="001B4F3C">
        <w:rPr>
          <w:rFonts w:eastAsia="Times New Roman" w:cs="Times New Roman"/>
          <w:color w:val="000000"/>
          <w:szCs w:val="24"/>
        </w:rPr>
        <w:t xml:space="preserve">stimate is greater than or less than the amount of your </w:t>
      </w:r>
      <w:r w:rsidR="000967DE">
        <w:rPr>
          <w:rFonts w:eastAsia="Times New Roman" w:cs="Times New Roman"/>
          <w:color w:val="000000"/>
          <w:szCs w:val="24"/>
        </w:rPr>
        <w:t>c</w:t>
      </w:r>
      <w:r w:rsidRPr="001B4F3C">
        <w:rPr>
          <w:rFonts w:eastAsia="Times New Roman" w:cs="Times New Roman"/>
          <w:color w:val="000000"/>
          <w:szCs w:val="24"/>
        </w:rPr>
        <w:t xml:space="preserve">ost </w:t>
      </w:r>
      <w:r w:rsidR="000967DE">
        <w:rPr>
          <w:rFonts w:eastAsia="Times New Roman" w:cs="Times New Roman"/>
          <w:color w:val="000000"/>
          <w:szCs w:val="24"/>
        </w:rPr>
        <w:t>e</w:t>
      </w:r>
      <w:r w:rsidRPr="001B4F3C">
        <w:rPr>
          <w:rFonts w:eastAsia="Times New Roman" w:cs="Times New Roman"/>
          <w:color w:val="000000"/>
          <w:szCs w:val="24"/>
        </w:rPr>
        <w:t xml:space="preserve">stimate, you will need to revise your </w:t>
      </w:r>
      <w:r w:rsidR="000967DE">
        <w:rPr>
          <w:rFonts w:eastAsia="Times New Roman" w:cs="Times New Roman"/>
          <w:color w:val="000000"/>
          <w:szCs w:val="24"/>
        </w:rPr>
        <w:t>c</w:t>
      </w:r>
      <w:r w:rsidRPr="001B4F3C">
        <w:rPr>
          <w:rFonts w:eastAsia="Times New Roman" w:cs="Times New Roman"/>
          <w:color w:val="000000"/>
          <w:szCs w:val="24"/>
        </w:rPr>
        <w:t xml:space="preserve">ost </w:t>
      </w:r>
      <w:r w:rsidR="000967DE">
        <w:rPr>
          <w:rFonts w:eastAsia="Times New Roman" w:cs="Times New Roman"/>
          <w:color w:val="000000"/>
          <w:szCs w:val="24"/>
        </w:rPr>
        <w:t>e</w:t>
      </w:r>
      <w:r w:rsidRPr="001B4F3C">
        <w:rPr>
          <w:rFonts w:eastAsia="Times New Roman" w:cs="Times New Roman"/>
          <w:color w:val="000000"/>
          <w:szCs w:val="24"/>
        </w:rPr>
        <w:t xml:space="preserve">stimate and submit a quote.  In some cases, stations will be required to submit the rationale for increased costs before a claim of a previously verified amount will be considered. </w:t>
      </w:r>
      <w:r w:rsidR="000C57EE">
        <w:rPr>
          <w:rFonts w:eastAsia="Times New Roman" w:cs="Times New Roman"/>
          <w:color w:val="000000"/>
          <w:szCs w:val="24"/>
        </w:rPr>
        <w:t xml:space="preserve"> </w:t>
      </w:r>
      <w:r w:rsidRPr="001B4F3C">
        <w:rPr>
          <w:rFonts w:eastAsia="Times New Roman" w:cs="Times New Roman"/>
          <w:color w:val="000000"/>
          <w:szCs w:val="24"/>
        </w:rPr>
        <w:t>Stations will be notified by the Fund Administrator if a revision is required.  Reimbursement will not be made in excess of an entity’s available allocation amount.</w:t>
      </w:r>
      <w:r w:rsidR="000C57EE">
        <w:rPr>
          <w:rFonts w:eastAsia="Times New Roman" w:cs="Times New Roman"/>
          <w:color w:val="000000"/>
          <w:szCs w:val="24"/>
        </w:rPr>
        <w:t xml:space="preserve"> </w:t>
      </w:r>
      <w:r w:rsidRPr="001B4F3C">
        <w:rPr>
          <w:rFonts w:eastAsia="Times New Roman" w:cs="Times New Roman"/>
          <w:color w:val="000000"/>
          <w:szCs w:val="24"/>
        </w:rPr>
        <w:t xml:space="preserve"> Any subsequent revision(s) will be evaluated and, if assessed as reasonable, reflected in future allocations. Claims exceeding the available allocation will still be reviewed for </w:t>
      </w:r>
      <w:r w:rsidR="00571507" w:rsidRPr="001B4F3C">
        <w:rPr>
          <w:rFonts w:eastAsia="Times New Roman" w:cs="Times New Roman"/>
          <w:color w:val="000000"/>
          <w:szCs w:val="24"/>
        </w:rPr>
        <w:t>reasonableness</w:t>
      </w:r>
      <w:r w:rsidR="00571507">
        <w:rPr>
          <w:rFonts w:eastAsia="Times New Roman" w:cs="Times New Roman"/>
          <w:color w:val="000000"/>
          <w:szCs w:val="24"/>
        </w:rPr>
        <w:t xml:space="preserve"> but</w:t>
      </w:r>
      <w:r w:rsidRPr="001B4F3C">
        <w:rPr>
          <w:rFonts w:eastAsia="Times New Roman" w:cs="Times New Roman"/>
          <w:color w:val="000000"/>
          <w:szCs w:val="24"/>
        </w:rPr>
        <w:t xml:space="preserve"> will be held for payment until a subsequent allocation is made. </w:t>
      </w:r>
      <w:r w:rsidRPr="001B4F3C">
        <w:rPr>
          <w:rFonts w:eastAsia="Times New Roman"/>
          <w:color w:val="000000"/>
          <w:szCs w:val="24"/>
        </w:rPr>
        <w:t xml:space="preserve">You will also be asked to provide details </w:t>
      </w:r>
      <w:r w:rsidRPr="001B4F3C">
        <w:rPr>
          <w:rFonts w:eastAsia="Times New Roman" w:cs="Times New Roman"/>
          <w:color w:val="000000"/>
          <w:szCs w:val="24"/>
        </w:rPr>
        <w:t xml:space="preserve">about the variance and rationale for increased costs. </w:t>
      </w:r>
    </w:p>
    <w:p w14:paraId="54EFF63A" w14:textId="77777777" w:rsidR="00DF17E7" w:rsidRPr="001B4F3C" w:rsidRDefault="00DF17E7" w:rsidP="00DF17E7">
      <w:pPr>
        <w:spacing w:line="254" w:lineRule="auto"/>
        <w:rPr>
          <w:rFonts w:eastAsia="Times New Roman" w:cs="Times New Roman"/>
          <w:b/>
          <w:bCs/>
          <w:i/>
          <w:iCs/>
          <w:color w:val="365F91"/>
          <w:szCs w:val="24"/>
        </w:rPr>
      </w:pPr>
    </w:p>
    <w:p w14:paraId="14C5EB3C" w14:textId="05EFF918" w:rsidR="00DF17E7" w:rsidRPr="001B4F3C" w:rsidRDefault="00DF17E7" w:rsidP="00DF17E7">
      <w:pPr>
        <w:spacing w:line="254" w:lineRule="auto"/>
        <w:rPr>
          <w:szCs w:val="24"/>
        </w:rPr>
      </w:pPr>
      <w:r w:rsidRPr="744777E4">
        <w:rPr>
          <w:rFonts w:eastAsia="Times New Roman" w:cs="Times New Roman"/>
          <w:b/>
          <w:bCs/>
          <w:i/>
          <w:iCs/>
          <w:color w:val="365F91"/>
          <w:szCs w:val="24"/>
        </w:rPr>
        <w:t>If an element of the verified cost estimate (transmitter, antenna, professional services, etc.) was based on the cost catalog price, does the entity need to submit a copy of the vendor quote when requesting reimbursement?</w:t>
      </w:r>
    </w:p>
    <w:p w14:paraId="780DF941" w14:textId="52D2DA7E" w:rsidR="009E1F0C" w:rsidRPr="001B4F3C" w:rsidRDefault="00DF17E7" w:rsidP="00DF17E7">
      <w:pPr>
        <w:spacing w:line="254" w:lineRule="auto"/>
        <w:rPr>
          <w:rFonts w:eastAsia="Times New Roman" w:cs="Times New Roman"/>
          <w:szCs w:val="24"/>
        </w:rPr>
      </w:pPr>
      <w:r w:rsidRPr="00CC4250">
        <w:rPr>
          <w:rFonts w:eastAsia="Times New Roman" w:cs="Times New Roman"/>
          <w:color w:val="000000" w:themeColor="text1"/>
          <w:szCs w:val="24"/>
        </w:rPr>
        <w:t xml:space="preserve">When requesting reimbursement for any </w:t>
      </w:r>
      <w:r w:rsidR="00756F34">
        <w:rPr>
          <w:rFonts w:eastAsia="Times New Roman" w:cs="Times New Roman"/>
          <w:color w:val="000000" w:themeColor="text1"/>
          <w:szCs w:val="24"/>
        </w:rPr>
        <w:t>repack</w:t>
      </w:r>
      <w:r w:rsidRPr="00CC4250">
        <w:rPr>
          <w:rFonts w:eastAsia="Times New Roman" w:cs="Times New Roman"/>
          <w:color w:val="000000" w:themeColor="text1"/>
          <w:szCs w:val="24"/>
        </w:rPr>
        <w:t xml:space="preserve">-related cost for which the estimated cost was based on the Cost Catalog, </w:t>
      </w:r>
      <w:r w:rsidRPr="43418335">
        <w:rPr>
          <w:rFonts w:eastAsia="Times New Roman" w:cs="Times New Roman"/>
          <w:szCs w:val="24"/>
        </w:rPr>
        <w:t>s</w:t>
      </w:r>
      <w:r w:rsidRPr="744777E4">
        <w:rPr>
          <w:rFonts w:eastAsia="Times New Roman" w:cs="Times New Roman"/>
          <w:szCs w:val="24"/>
        </w:rPr>
        <w:t>tations must submit a copy of the vendor quote or a copy of its purchase order to the vendor if the submitted invoice does not provide a detailed description of the equipment being purchased or services being performed</w:t>
      </w:r>
      <w:r w:rsidRPr="43418335">
        <w:rPr>
          <w:rFonts w:eastAsia="Times New Roman" w:cs="Times New Roman"/>
          <w:szCs w:val="24"/>
        </w:rPr>
        <w:t>.</w:t>
      </w:r>
      <w:r w:rsidRPr="744777E4">
        <w:rPr>
          <w:rFonts w:eastAsia="Times New Roman" w:cs="Times New Roman"/>
          <w:szCs w:val="24"/>
        </w:rPr>
        <w:t xml:space="preserve"> If the entity does not or cannot provide a copy of the vendor quote or a copy of its purchase order to the vendor, the </w:t>
      </w:r>
      <w:r w:rsidRPr="43418335">
        <w:rPr>
          <w:rFonts w:eastAsia="Times New Roman" w:cs="Times New Roman"/>
          <w:szCs w:val="24"/>
        </w:rPr>
        <w:t>station</w:t>
      </w:r>
      <w:r w:rsidRPr="744777E4">
        <w:rPr>
          <w:rFonts w:eastAsia="Times New Roman" w:cs="Times New Roman"/>
          <w:szCs w:val="24"/>
        </w:rPr>
        <w:t xml:space="preserve"> should provide an explanation </w:t>
      </w:r>
      <w:r w:rsidRPr="43418335">
        <w:rPr>
          <w:rFonts w:eastAsia="Times New Roman" w:cs="Times New Roman"/>
          <w:szCs w:val="24"/>
        </w:rPr>
        <w:t xml:space="preserve">of the equipment or services performed </w:t>
      </w:r>
      <w:r w:rsidRPr="744777E4">
        <w:rPr>
          <w:rFonts w:eastAsia="Times New Roman" w:cs="Times New Roman"/>
          <w:szCs w:val="24"/>
        </w:rPr>
        <w:t xml:space="preserve">along with its request for reimbursement. </w:t>
      </w:r>
      <w:r w:rsidR="00FF586A">
        <w:rPr>
          <w:rFonts w:eastAsia="Times New Roman" w:cs="Times New Roman"/>
          <w:szCs w:val="24"/>
        </w:rPr>
        <w:t xml:space="preserve"> </w:t>
      </w:r>
      <w:r w:rsidRPr="744777E4">
        <w:rPr>
          <w:rFonts w:eastAsia="Times New Roman" w:cs="Times New Roman"/>
          <w:szCs w:val="24"/>
        </w:rPr>
        <w:t>Stations will also be expected to revise their requested cost estimate</w:t>
      </w:r>
      <w:r w:rsidR="00756F34">
        <w:rPr>
          <w:rFonts w:eastAsia="Times New Roman" w:cs="Times New Roman"/>
          <w:szCs w:val="24"/>
        </w:rPr>
        <w:t>s</w:t>
      </w:r>
      <w:r w:rsidRPr="744777E4">
        <w:rPr>
          <w:rFonts w:eastAsia="Times New Roman" w:cs="Times New Roman"/>
          <w:szCs w:val="24"/>
        </w:rPr>
        <w:t xml:space="preserve"> if the actual cost</w:t>
      </w:r>
      <w:r w:rsidR="00756F34">
        <w:rPr>
          <w:rFonts w:eastAsia="Times New Roman" w:cs="Times New Roman"/>
          <w:szCs w:val="24"/>
        </w:rPr>
        <w:t>s</w:t>
      </w:r>
      <w:r w:rsidRPr="744777E4">
        <w:rPr>
          <w:rFonts w:eastAsia="Times New Roman" w:cs="Times New Roman"/>
          <w:szCs w:val="24"/>
        </w:rPr>
        <w:t xml:space="preserve"> </w:t>
      </w:r>
      <w:r w:rsidR="00756F34">
        <w:rPr>
          <w:rFonts w:eastAsia="Times New Roman" w:cs="Times New Roman"/>
          <w:szCs w:val="24"/>
        </w:rPr>
        <w:t>are</w:t>
      </w:r>
      <w:r w:rsidRPr="744777E4">
        <w:rPr>
          <w:rFonts w:eastAsia="Times New Roman" w:cs="Times New Roman"/>
          <w:szCs w:val="24"/>
        </w:rPr>
        <w:t xml:space="preserve"> greater than or less </w:t>
      </w:r>
      <w:r w:rsidRPr="43418335">
        <w:rPr>
          <w:rFonts w:eastAsia="Times New Roman" w:cs="Times New Roman"/>
          <w:szCs w:val="24"/>
        </w:rPr>
        <w:t>than</w:t>
      </w:r>
      <w:r w:rsidRPr="744777E4">
        <w:rPr>
          <w:rFonts w:eastAsia="Times New Roman" w:cs="Times New Roman"/>
          <w:szCs w:val="24"/>
        </w:rPr>
        <w:t xml:space="preserve"> the current </w:t>
      </w:r>
      <w:r w:rsidRPr="43418335">
        <w:rPr>
          <w:rFonts w:eastAsia="Times New Roman" w:cs="Times New Roman"/>
          <w:szCs w:val="24"/>
        </w:rPr>
        <w:t>cost</w:t>
      </w:r>
      <w:r w:rsidRPr="744777E4">
        <w:rPr>
          <w:rFonts w:eastAsia="Times New Roman" w:cs="Times New Roman"/>
          <w:szCs w:val="24"/>
        </w:rPr>
        <w:t xml:space="preserve"> estimate.</w:t>
      </w:r>
    </w:p>
    <w:p w14:paraId="6F8A436C" w14:textId="77777777" w:rsidR="00DF17E7" w:rsidRPr="001B4F3C" w:rsidRDefault="00DF17E7" w:rsidP="00DF17E7">
      <w:pPr>
        <w:spacing w:line="254" w:lineRule="auto"/>
        <w:rPr>
          <w:rFonts w:eastAsia="Times New Roman" w:cs="Times New Roman"/>
          <w:b/>
          <w:bCs/>
          <w:i/>
          <w:iCs/>
          <w:color w:val="365F91"/>
          <w:szCs w:val="24"/>
        </w:rPr>
      </w:pPr>
    </w:p>
    <w:p w14:paraId="26498670" w14:textId="77777777" w:rsidR="00DF17E7" w:rsidRPr="001B4F3C" w:rsidRDefault="00DF17E7" w:rsidP="00DF17E7">
      <w:pPr>
        <w:spacing w:line="254" w:lineRule="auto"/>
        <w:rPr>
          <w:szCs w:val="24"/>
        </w:rPr>
      </w:pPr>
      <w:r w:rsidRPr="001B4F3C">
        <w:rPr>
          <w:rFonts w:eastAsia="Times New Roman" w:cs="Times New Roman"/>
          <w:b/>
          <w:bCs/>
          <w:i/>
          <w:iCs/>
          <w:color w:val="365F91"/>
          <w:szCs w:val="24"/>
        </w:rPr>
        <w:t>What supporting detail is required for reimbursement of expenses?</w:t>
      </w:r>
      <w:r w:rsidRPr="001B4F3C">
        <w:rPr>
          <w:szCs w:val="24"/>
        </w:rPr>
        <w:t xml:space="preserve"> </w:t>
      </w:r>
    </w:p>
    <w:p w14:paraId="6DB7486F" w14:textId="77777777" w:rsidR="00DF17E7" w:rsidRPr="001B4F3C" w:rsidRDefault="00DF17E7" w:rsidP="00DF17E7">
      <w:pPr>
        <w:spacing w:line="254" w:lineRule="auto"/>
        <w:rPr>
          <w:rFonts w:eastAsia="Times New Roman" w:cs="Times New Roman"/>
          <w:szCs w:val="24"/>
        </w:rPr>
      </w:pPr>
      <w:r w:rsidRPr="001B4F3C">
        <w:rPr>
          <w:rFonts w:eastAsia="Times New Roman" w:cs="Times New Roman"/>
          <w:szCs w:val="24"/>
        </w:rPr>
        <w:t>All requests for reimbursement must be accompanied by documentation of the expense incurred, such as an invoice, receipt, or other supporting documentation that explains the nature and cost of the expense.  Vendor equipment and services must be accompanied by an invoice.  Note that the Cost Catalog (and its associated prices) may not be used as documentation of an incurred expense. A cover letter explaining the expense is strongly encouraged.</w:t>
      </w:r>
    </w:p>
    <w:p w14:paraId="2B62AAAF" w14:textId="77777777" w:rsidR="00DF17E7" w:rsidRPr="001B4F3C" w:rsidRDefault="00DF17E7" w:rsidP="00DF17E7">
      <w:pPr>
        <w:spacing w:line="254" w:lineRule="auto"/>
        <w:rPr>
          <w:rFonts w:eastAsia="Times New Roman" w:cs="Times New Roman"/>
          <w:b/>
          <w:bCs/>
          <w:i/>
          <w:iCs/>
          <w:color w:val="365F91"/>
          <w:szCs w:val="24"/>
        </w:rPr>
      </w:pPr>
    </w:p>
    <w:p w14:paraId="033AC5D5" w14:textId="6233B08F" w:rsidR="00DF17E7" w:rsidRPr="001B4F3C" w:rsidRDefault="00DF17E7" w:rsidP="00DF17E7">
      <w:pPr>
        <w:spacing w:line="254" w:lineRule="auto"/>
        <w:rPr>
          <w:rFonts w:eastAsia="Times New Roman" w:cs="Times New Roman"/>
          <w:b/>
          <w:bCs/>
          <w:i/>
          <w:iCs/>
          <w:color w:val="365F91"/>
          <w:szCs w:val="24"/>
        </w:rPr>
      </w:pPr>
      <w:r w:rsidRPr="744777E4">
        <w:rPr>
          <w:rFonts w:eastAsia="Times New Roman" w:cs="Times New Roman"/>
          <w:b/>
          <w:bCs/>
          <w:i/>
          <w:iCs/>
          <w:color w:val="365F91"/>
          <w:szCs w:val="24"/>
        </w:rPr>
        <w:t>What supporting detail is required for reimbursement of professional services?</w:t>
      </w:r>
    </w:p>
    <w:p w14:paraId="00C43015" w14:textId="77777777" w:rsidR="00DF17E7" w:rsidRPr="001B4F3C" w:rsidRDefault="00DF17E7" w:rsidP="00DF17E7">
      <w:pPr>
        <w:spacing w:line="254" w:lineRule="auto"/>
        <w:rPr>
          <w:rFonts w:eastAsia="Times New Roman" w:cs="Times New Roman"/>
          <w:szCs w:val="24"/>
        </w:rPr>
      </w:pPr>
      <w:r w:rsidRPr="001B4F3C">
        <w:rPr>
          <w:rFonts w:eastAsia="Times New Roman" w:cs="Times New Roman"/>
          <w:szCs w:val="24"/>
        </w:rPr>
        <w:t xml:space="preserve">Requests for reimbursement for professional services must be accompanied by a supporting vendor invoice that clearly identifies the period during which services were performed.  </w:t>
      </w:r>
    </w:p>
    <w:p w14:paraId="017555D9" w14:textId="1CCF86EA" w:rsidR="00DF17E7" w:rsidRPr="001B4F3C" w:rsidRDefault="00DF17E7" w:rsidP="00DF17E7">
      <w:pPr>
        <w:pStyle w:val="ListParagraph"/>
        <w:numPr>
          <w:ilvl w:val="0"/>
          <w:numId w:val="15"/>
        </w:numPr>
        <w:rPr>
          <w:szCs w:val="24"/>
        </w:rPr>
      </w:pPr>
      <w:r w:rsidRPr="001B4F3C">
        <w:rPr>
          <w:rFonts w:eastAsia="Times New Roman" w:cs="Times New Roman"/>
          <w:i/>
          <w:iCs/>
          <w:szCs w:val="24"/>
          <w:u w:val="single"/>
        </w:rPr>
        <w:t>Time and Material Billing</w:t>
      </w:r>
      <w:r w:rsidRPr="001B4F3C">
        <w:rPr>
          <w:rFonts w:eastAsia="Times New Roman" w:cs="Times New Roman"/>
          <w:szCs w:val="24"/>
        </w:rPr>
        <w:t xml:space="preserve">.  For services performed on a “time and materials” basis, the invoice must identify the </w:t>
      </w:r>
      <w:r w:rsidR="00756F34">
        <w:rPr>
          <w:rFonts w:eastAsia="Times New Roman" w:cs="Times New Roman"/>
          <w:szCs w:val="24"/>
        </w:rPr>
        <w:t>individual(s)</w:t>
      </w:r>
      <w:r w:rsidR="00756F34" w:rsidRPr="001B4F3C">
        <w:rPr>
          <w:rFonts w:eastAsia="Times New Roman" w:cs="Times New Roman"/>
          <w:szCs w:val="24"/>
        </w:rPr>
        <w:t xml:space="preserve"> </w:t>
      </w:r>
      <w:r w:rsidRPr="001B4F3C">
        <w:rPr>
          <w:rFonts w:eastAsia="Times New Roman" w:cs="Times New Roman"/>
          <w:szCs w:val="24"/>
        </w:rPr>
        <w:t xml:space="preserve">who completed the work, specify the hours and dates worked by the </w:t>
      </w:r>
      <w:r w:rsidR="00756F34">
        <w:rPr>
          <w:rFonts w:eastAsia="Times New Roman" w:cs="Times New Roman"/>
          <w:szCs w:val="24"/>
        </w:rPr>
        <w:t>Individual(s)</w:t>
      </w:r>
      <w:r w:rsidRPr="001B4F3C">
        <w:rPr>
          <w:rFonts w:eastAsia="Times New Roman" w:cs="Times New Roman"/>
          <w:szCs w:val="24"/>
        </w:rPr>
        <w:t xml:space="preserve">, the associated rate(s) per hour, and a description of the activities performed by each </w:t>
      </w:r>
      <w:r w:rsidR="00756F34">
        <w:rPr>
          <w:rFonts w:eastAsia="Times New Roman" w:cs="Times New Roman"/>
          <w:szCs w:val="24"/>
        </w:rPr>
        <w:t>person</w:t>
      </w:r>
      <w:r w:rsidR="00756F34" w:rsidRPr="001B4F3C">
        <w:rPr>
          <w:rFonts w:eastAsia="Times New Roman" w:cs="Times New Roman"/>
          <w:szCs w:val="24"/>
        </w:rPr>
        <w:t xml:space="preserve"> </w:t>
      </w:r>
      <w:r w:rsidRPr="001B4F3C">
        <w:rPr>
          <w:rFonts w:eastAsia="Times New Roman" w:cs="Times New Roman"/>
          <w:szCs w:val="24"/>
        </w:rPr>
        <w:t>included in the invoice.  Note that project management services must be billed as time and materials and not as fixed fee.</w:t>
      </w:r>
    </w:p>
    <w:p w14:paraId="0D6B237F" w14:textId="4920F65C" w:rsidR="00DF17E7" w:rsidRPr="00A90C18" w:rsidRDefault="00DF17E7" w:rsidP="00DF17E7">
      <w:pPr>
        <w:pStyle w:val="ListParagraph"/>
        <w:numPr>
          <w:ilvl w:val="0"/>
          <w:numId w:val="15"/>
        </w:numPr>
        <w:rPr>
          <w:rFonts w:ascii="Calibri" w:hAnsi="Calibri"/>
          <w:szCs w:val="24"/>
        </w:rPr>
      </w:pPr>
      <w:r w:rsidRPr="744777E4">
        <w:rPr>
          <w:rFonts w:eastAsia="Times New Roman" w:cs="Times New Roman"/>
          <w:i/>
          <w:iCs/>
          <w:szCs w:val="24"/>
          <w:u w:val="single"/>
        </w:rPr>
        <w:t>Fixed Fee Billing</w:t>
      </w:r>
      <w:r w:rsidRPr="744777E4">
        <w:rPr>
          <w:rFonts w:eastAsia="Times New Roman" w:cs="Times New Roman"/>
          <w:szCs w:val="24"/>
        </w:rPr>
        <w:t xml:space="preserve">.  For professional services in which the underlying vendor invoice is billed to an entity as a fixed fee, the invoice must specify the time period covered by the invoice, include a detailed description of the services performed that specifies the cost and activity “build-up” to support the fixed fee amount, and the amount due. </w:t>
      </w:r>
      <w:r w:rsidR="0073287D">
        <w:rPr>
          <w:rFonts w:eastAsia="Times New Roman" w:cs="Times New Roman"/>
          <w:szCs w:val="24"/>
        </w:rPr>
        <w:t xml:space="preserve"> </w:t>
      </w:r>
      <w:r w:rsidRPr="744777E4">
        <w:rPr>
          <w:rFonts w:eastAsia="Times New Roman" w:cs="Times New Roman"/>
          <w:szCs w:val="24"/>
        </w:rPr>
        <w:t xml:space="preserve">If the </w:t>
      </w:r>
      <w:r w:rsidRPr="744777E4">
        <w:rPr>
          <w:rFonts w:eastAsia="Times New Roman" w:cs="Times New Roman"/>
          <w:szCs w:val="24"/>
        </w:rPr>
        <w:lastRenderedPageBreak/>
        <w:t>invoice does not include the required detail, the station must submit a copy of the vendor quote that includes this information.</w:t>
      </w:r>
      <w:r w:rsidR="006B3F03">
        <w:rPr>
          <w:rFonts w:eastAsia="Times New Roman" w:cs="Times New Roman"/>
          <w:szCs w:val="24"/>
        </w:rPr>
        <w:t xml:space="preserve">  </w:t>
      </w:r>
      <w:r w:rsidRPr="744777E4">
        <w:rPr>
          <w:rFonts w:eastAsia="Times New Roman" w:cs="Times New Roman"/>
          <w:szCs w:val="24"/>
        </w:rPr>
        <w:t>Note that project management services must be billed as time and materials and not as fixed fee.</w:t>
      </w:r>
    </w:p>
    <w:p w14:paraId="623D724B" w14:textId="77777777" w:rsidR="00DF17E7" w:rsidRPr="00A90C18" w:rsidRDefault="00DF17E7" w:rsidP="00DF17E7">
      <w:pPr>
        <w:ind w:left="360"/>
        <w:rPr>
          <w:szCs w:val="24"/>
        </w:rPr>
      </w:pPr>
    </w:p>
    <w:p w14:paraId="6A568B41" w14:textId="77777777" w:rsidR="00DF17E7" w:rsidRPr="001B4F3C" w:rsidRDefault="00DF17E7" w:rsidP="00DF17E7">
      <w:pPr>
        <w:pStyle w:val="Heading3"/>
      </w:pPr>
      <w:r w:rsidRPr="001B4F3C">
        <w:t>Should I submit my invoices upon receipt, or should I submit them in batches?</w:t>
      </w:r>
    </w:p>
    <w:p w14:paraId="15293121" w14:textId="575118C9" w:rsidR="00DF17E7" w:rsidRDefault="00DF17E7" w:rsidP="00DF17E7">
      <w:pPr>
        <w:spacing w:line="254" w:lineRule="auto"/>
        <w:rPr>
          <w:rFonts w:eastAsia="Times New Roman" w:cs="Times New Roman"/>
          <w:szCs w:val="24"/>
        </w:rPr>
      </w:pPr>
      <w:r w:rsidRPr="00A90C18">
        <w:rPr>
          <w:rFonts w:eastAsia="Times New Roman" w:cs="Times New Roman"/>
          <w:szCs w:val="24"/>
        </w:rPr>
        <w:t>While stations have the flexibility to submit invoices either way, we encourage stations to promptly submit invoices upon receipt and revise cost estimates, as applicable. We rely, in part, on draw-down amounts and submitted estimates to make allocation decisions.</w:t>
      </w:r>
    </w:p>
    <w:p w14:paraId="5D30BEB8" w14:textId="77777777" w:rsidR="00320E15" w:rsidRDefault="00320E15" w:rsidP="00DF17E7">
      <w:pPr>
        <w:spacing w:line="254" w:lineRule="auto"/>
        <w:rPr>
          <w:rFonts w:eastAsia="Times New Roman" w:cs="Times New Roman"/>
          <w:szCs w:val="24"/>
        </w:rPr>
      </w:pPr>
    </w:p>
    <w:p w14:paraId="454D4769" w14:textId="3C7EB34E" w:rsidR="005056E2" w:rsidRPr="00CD177A" w:rsidRDefault="005056E2" w:rsidP="005056E2">
      <w:pPr>
        <w:rPr>
          <w:b/>
          <w:i/>
          <w:color w:val="2F5496" w:themeColor="accent1" w:themeShade="BF"/>
          <w:szCs w:val="24"/>
        </w:rPr>
      </w:pPr>
      <w:bookmarkStart w:id="14" w:name="_Hlk99608832"/>
      <w:r w:rsidRPr="00CD177A">
        <w:rPr>
          <w:b/>
          <w:i/>
          <w:color w:val="2F5496" w:themeColor="accent1" w:themeShade="BF"/>
          <w:szCs w:val="24"/>
        </w:rPr>
        <w:t xml:space="preserve">Can </w:t>
      </w:r>
      <w:r>
        <w:rPr>
          <w:b/>
          <w:i/>
          <w:color w:val="2F5496" w:themeColor="accent1" w:themeShade="BF"/>
          <w:szCs w:val="24"/>
        </w:rPr>
        <w:t xml:space="preserve">stations seek an extension to their </w:t>
      </w:r>
      <w:r w:rsidRPr="00CD177A">
        <w:rPr>
          <w:b/>
          <w:i/>
          <w:color w:val="2F5496" w:themeColor="accent1" w:themeShade="BF"/>
          <w:szCs w:val="24"/>
        </w:rPr>
        <w:t>invoice filing deadline?</w:t>
      </w:r>
      <w:r>
        <w:rPr>
          <w:rStyle w:val="FootnoteReference"/>
          <w:b/>
          <w:i/>
          <w:color w:val="2F5496" w:themeColor="accent1" w:themeShade="BF"/>
          <w:szCs w:val="24"/>
        </w:rPr>
        <w:footnoteReference w:id="22"/>
      </w:r>
    </w:p>
    <w:p w14:paraId="40B95DC3" w14:textId="5E97F393" w:rsidR="005056E2" w:rsidRPr="00642733" w:rsidRDefault="005056E2" w:rsidP="005F749E">
      <w:pPr>
        <w:spacing w:after="120"/>
        <w:rPr>
          <w:szCs w:val="24"/>
        </w:rPr>
      </w:pPr>
      <w:r>
        <w:rPr>
          <w:szCs w:val="24"/>
        </w:rPr>
        <w:t>Stations are expected to submit invoices for their incurred costs by their assigned submission deadline. In the rare case that a s</w:t>
      </w:r>
      <w:r w:rsidRPr="00642733">
        <w:rPr>
          <w:szCs w:val="24"/>
        </w:rPr>
        <w:t>tation experience</w:t>
      </w:r>
      <w:r w:rsidR="00CF0724">
        <w:rPr>
          <w:szCs w:val="24"/>
        </w:rPr>
        <w:t>d</w:t>
      </w:r>
      <w:r w:rsidRPr="00642733">
        <w:rPr>
          <w:szCs w:val="24"/>
        </w:rPr>
        <w:t xml:space="preserve"> delays in </w:t>
      </w:r>
      <w:r>
        <w:rPr>
          <w:szCs w:val="24"/>
        </w:rPr>
        <w:t>its</w:t>
      </w:r>
      <w:r w:rsidRPr="00642733">
        <w:rPr>
          <w:szCs w:val="24"/>
        </w:rPr>
        <w:t xml:space="preserve"> relocation project that </w:t>
      </w:r>
      <w:r w:rsidR="00CF0724">
        <w:rPr>
          <w:szCs w:val="24"/>
        </w:rPr>
        <w:t>were</w:t>
      </w:r>
      <w:r w:rsidR="00CF0724" w:rsidRPr="00642733">
        <w:rPr>
          <w:szCs w:val="24"/>
        </w:rPr>
        <w:t xml:space="preserve"> </w:t>
      </w:r>
      <w:r w:rsidRPr="00642733">
        <w:rPr>
          <w:szCs w:val="24"/>
        </w:rPr>
        <w:t xml:space="preserve">beyond </w:t>
      </w:r>
      <w:r>
        <w:rPr>
          <w:szCs w:val="24"/>
        </w:rPr>
        <w:t>its</w:t>
      </w:r>
      <w:r w:rsidRPr="00642733">
        <w:rPr>
          <w:szCs w:val="24"/>
        </w:rPr>
        <w:t xml:space="preserve"> control</w:t>
      </w:r>
      <w:r>
        <w:rPr>
          <w:szCs w:val="24"/>
        </w:rPr>
        <w:t xml:space="preserve">, the station </w:t>
      </w:r>
      <w:r w:rsidR="00E91AFB">
        <w:rPr>
          <w:szCs w:val="24"/>
        </w:rPr>
        <w:t xml:space="preserve">could have </w:t>
      </w:r>
      <w:r w:rsidRPr="00642733">
        <w:rPr>
          <w:szCs w:val="24"/>
        </w:rPr>
        <w:t>request</w:t>
      </w:r>
      <w:r w:rsidR="00E91AFB">
        <w:rPr>
          <w:szCs w:val="24"/>
        </w:rPr>
        <w:t>ed</w:t>
      </w:r>
      <w:r w:rsidRPr="00642733">
        <w:rPr>
          <w:szCs w:val="24"/>
        </w:rPr>
        <w:t xml:space="preserve"> </w:t>
      </w:r>
      <w:r w:rsidRPr="000E21DC">
        <w:rPr>
          <w:szCs w:val="24"/>
        </w:rPr>
        <w:t>a limited extension</w:t>
      </w:r>
      <w:r>
        <w:rPr>
          <w:szCs w:val="24"/>
        </w:rPr>
        <w:t>.</w:t>
      </w:r>
      <w:r w:rsidR="00E91AFB">
        <w:rPr>
          <w:szCs w:val="24"/>
        </w:rPr>
        <w:t xml:space="preserve"> However, as of September </w:t>
      </w:r>
      <w:r w:rsidR="005D79A8">
        <w:rPr>
          <w:szCs w:val="24"/>
        </w:rPr>
        <w:t>6</w:t>
      </w:r>
      <w:r w:rsidR="00E91AFB">
        <w:rPr>
          <w:szCs w:val="24"/>
        </w:rPr>
        <w:t xml:space="preserve">, 2022, stations are no longer able to request an </w:t>
      </w:r>
      <w:r w:rsidR="00DE547E">
        <w:rPr>
          <w:szCs w:val="24"/>
        </w:rPr>
        <w:t xml:space="preserve">initial </w:t>
      </w:r>
      <w:r w:rsidR="00E91AFB">
        <w:rPr>
          <w:szCs w:val="24"/>
        </w:rPr>
        <w:t>extension to their filing deadline.</w:t>
      </w:r>
      <w:r>
        <w:rPr>
          <w:szCs w:val="24"/>
        </w:rPr>
        <w:t xml:space="preserve"> </w:t>
      </w:r>
    </w:p>
    <w:p w14:paraId="224EDAC8" w14:textId="77777777" w:rsidR="005056E2" w:rsidRDefault="005056E2" w:rsidP="005F749E">
      <w:pPr>
        <w:spacing w:after="120"/>
        <w:rPr>
          <w:szCs w:val="24"/>
        </w:rPr>
      </w:pPr>
      <w:r w:rsidRPr="00642733">
        <w:rPr>
          <w:szCs w:val="24"/>
        </w:rPr>
        <w:t>To submit a waiver</w:t>
      </w:r>
      <w:r>
        <w:rPr>
          <w:szCs w:val="24"/>
        </w:rPr>
        <w:t>/extension</w:t>
      </w:r>
      <w:r w:rsidRPr="00642733">
        <w:rPr>
          <w:szCs w:val="24"/>
        </w:rPr>
        <w:t xml:space="preserve"> request for the invoice filing deadline, </w:t>
      </w:r>
      <w:r>
        <w:rPr>
          <w:szCs w:val="24"/>
        </w:rPr>
        <w:t>a</w:t>
      </w:r>
      <w:r w:rsidRPr="00642733">
        <w:rPr>
          <w:szCs w:val="24"/>
        </w:rPr>
        <w:t xml:space="preserve"> station </w:t>
      </w:r>
      <w:r>
        <w:rPr>
          <w:szCs w:val="24"/>
        </w:rPr>
        <w:t xml:space="preserve">must file a </w:t>
      </w:r>
      <w:r w:rsidRPr="00642733">
        <w:rPr>
          <w:szCs w:val="24"/>
        </w:rPr>
        <w:t xml:space="preserve">Legal Special Temporary Authorization (STA) </w:t>
      </w:r>
      <w:r>
        <w:rPr>
          <w:szCs w:val="24"/>
        </w:rPr>
        <w:t>via</w:t>
      </w:r>
      <w:r w:rsidRPr="00642733">
        <w:rPr>
          <w:szCs w:val="24"/>
        </w:rPr>
        <w:t xml:space="preserve"> the FCC’s Licensing and Management System (LMS). </w:t>
      </w:r>
      <w:r>
        <w:rPr>
          <w:szCs w:val="24"/>
        </w:rPr>
        <w:t xml:space="preserve"> This filing ca</w:t>
      </w:r>
      <w:r w:rsidRPr="00642733">
        <w:rPr>
          <w:szCs w:val="24"/>
        </w:rPr>
        <w:t xml:space="preserve">n be </w:t>
      </w:r>
      <w:r>
        <w:rPr>
          <w:szCs w:val="24"/>
        </w:rPr>
        <w:t>made</w:t>
      </w:r>
      <w:r w:rsidRPr="00642733">
        <w:rPr>
          <w:szCs w:val="24"/>
        </w:rPr>
        <w:t xml:space="preserve"> by navigating </w:t>
      </w:r>
      <w:r>
        <w:rPr>
          <w:szCs w:val="24"/>
        </w:rPr>
        <w:t xml:space="preserve">to </w:t>
      </w:r>
      <w:r w:rsidRPr="00642733">
        <w:rPr>
          <w:szCs w:val="24"/>
        </w:rPr>
        <w:t>the ‘</w:t>
      </w:r>
      <w:r>
        <w:rPr>
          <w:szCs w:val="24"/>
        </w:rPr>
        <w:t>Facilities</w:t>
      </w:r>
      <w:r w:rsidRPr="00642733">
        <w:rPr>
          <w:szCs w:val="24"/>
        </w:rPr>
        <w:t>’ page</w:t>
      </w:r>
      <w:r>
        <w:rPr>
          <w:szCs w:val="24"/>
        </w:rPr>
        <w:t>, selecting the appropriate facility,</w:t>
      </w:r>
      <w:r w:rsidRPr="00642733">
        <w:rPr>
          <w:szCs w:val="24"/>
        </w:rPr>
        <w:t xml:space="preserve"> and selecting ‘Legal STA’ from the ‘File an Application’ drop-down. </w:t>
      </w:r>
      <w:r w:rsidRPr="00217E97">
        <w:rPr>
          <w:szCs w:val="24"/>
        </w:rPr>
        <w:t>The fee</w:t>
      </w:r>
      <w:r>
        <w:rPr>
          <w:szCs w:val="24"/>
        </w:rPr>
        <w:t xml:space="preserve"> to file</w:t>
      </w:r>
      <w:r w:rsidRPr="00217E97">
        <w:rPr>
          <w:szCs w:val="24"/>
        </w:rPr>
        <w:t xml:space="preserve"> the Legal STA will be waived</w:t>
      </w:r>
      <w:r>
        <w:rPr>
          <w:szCs w:val="24"/>
        </w:rPr>
        <w:t xml:space="preserve"> by request for a </w:t>
      </w:r>
      <w:r w:rsidRPr="00217E97">
        <w:rPr>
          <w:szCs w:val="24"/>
        </w:rPr>
        <w:t>filing</w:t>
      </w:r>
      <w:r>
        <w:rPr>
          <w:szCs w:val="24"/>
        </w:rPr>
        <w:t>-</w:t>
      </w:r>
      <w:r w:rsidRPr="00217E97">
        <w:rPr>
          <w:szCs w:val="24"/>
        </w:rPr>
        <w:t>fee</w:t>
      </w:r>
      <w:r>
        <w:rPr>
          <w:szCs w:val="24"/>
        </w:rPr>
        <w:t xml:space="preserve"> waiver. Applicants should go to</w:t>
      </w:r>
      <w:r w:rsidRPr="00217E97">
        <w:rPr>
          <w:szCs w:val="24"/>
        </w:rPr>
        <w:t xml:space="preserve"> the “Fees, Waivers, and Exemptions” section</w:t>
      </w:r>
      <w:r>
        <w:rPr>
          <w:szCs w:val="24"/>
        </w:rPr>
        <w:t xml:space="preserve">, select “yes” to the question “Is the applicant </w:t>
      </w:r>
      <w:r w:rsidRPr="00217E97">
        <w:rPr>
          <w:szCs w:val="24"/>
        </w:rPr>
        <w:t>exempt</w:t>
      </w:r>
      <w:r>
        <w:rPr>
          <w:szCs w:val="24"/>
        </w:rPr>
        <w:t xml:space="preserve"> from FCC application fees,” </w:t>
      </w:r>
      <w:r w:rsidRPr="00217E97">
        <w:rPr>
          <w:szCs w:val="24"/>
        </w:rPr>
        <w:t xml:space="preserve">and </w:t>
      </w:r>
      <w:r>
        <w:rPr>
          <w:szCs w:val="24"/>
        </w:rPr>
        <w:t>provide</w:t>
      </w:r>
      <w:r w:rsidRPr="00217E97">
        <w:rPr>
          <w:szCs w:val="24"/>
        </w:rPr>
        <w:t xml:space="preserve"> a short description </w:t>
      </w:r>
      <w:r>
        <w:rPr>
          <w:szCs w:val="24"/>
        </w:rPr>
        <w:t xml:space="preserve">as to </w:t>
      </w:r>
      <w:r w:rsidRPr="00217E97">
        <w:rPr>
          <w:szCs w:val="24"/>
        </w:rPr>
        <w:t>why</w:t>
      </w:r>
      <w:r>
        <w:rPr>
          <w:szCs w:val="24"/>
        </w:rPr>
        <w:t xml:space="preserve"> (</w:t>
      </w:r>
      <w:r w:rsidRPr="00217E97">
        <w:rPr>
          <w:szCs w:val="24"/>
        </w:rPr>
        <w:t>for example</w:t>
      </w:r>
      <w:r>
        <w:rPr>
          <w:szCs w:val="24"/>
        </w:rPr>
        <w:t xml:space="preserve">, </w:t>
      </w:r>
      <w:r w:rsidRPr="00217E97">
        <w:rPr>
          <w:szCs w:val="24"/>
        </w:rPr>
        <w:t>“</w:t>
      </w:r>
      <w:r>
        <w:rPr>
          <w:szCs w:val="24"/>
        </w:rPr>
        <w:t xml:space="preserve">the August 9, 2021 Invoice Filing PN states that the filing fees may be waived.”) </w:t>
      </w:r>
    </w:p>
    <w:p w14:paraId="462BF56F" w14:textId="77777777" w:rsidR="005056E2" w:rsidRDefault="005056E2" w:rsidP="005F749E">
      <w:pPr>
        <w:spacing w:after="120"/>
        <w:rPr>
          <w:szCs w:val="24"/>
        </w:rPr>
      </w:pPr>
      <w:r w:rsidRPr="000E21DC">
        <w:rPr>
          <w:szCs w:val="24"/>
        </w:rPr>
        <w:t xml:space="preserve">An entity requesting such a </w:t>
      </w:r>
      <w:r>
        <w:rPr>
          <w:szCs w:val="24"/>
        </w:rPr>
        <w:t>waiver/extension</w:t>
      </w:r>
      <w:r w:rsidRPr="000E21DC">
        <w:rPr>
          <w:szCs w:val="24"/>
        </w:rPr>
        <w:t xml:space="preserve"> will have to provide evidence that circumstances requiring the extension were outside of its control, such as local zoning or a force majeure event occurring proximate to the final submission deadline.  </w:t>
      </w:r>
      <w:r>
        <w:rPr>
          <w:szCs w:val="24"/>
        </w:rPr>
        <w:t>Waiver requests should be made between 30 to 40 days prior to the deadline and must</w:t>
      </w:r>
      <w:r w:rsidRPr="007F3619">
        <w:rPr>
          <w:szCs w:val="24"/>
        </w:rPr>
        <w:t xml:space="preserve"> include </w:t>
      </w:r>
      <w:r>
        <w:rPr>
          <w:szCs w:val="24"/>
        </w:rPr>
        <w:t xml:space="preserve">a </w:t>
      </w:r>
      <w:r w:rsidRPr="007F3619">
        <w:rPr>
          <w:szCs w:val="24"/>
        </w:rPr>
        <w:t>detailed explanation of</w:t>
      </w:r>
      <w:r>
        <w:rPr>
          <w:szCs w:val="24"/>
        </w:rPr>
        <w:t xml:space="preserve"> the following</w:t>
      </w:r>
      <w:r w:rsidRPr="007F3619">
        <w:rPr>
          <w:szCs w:val="24"/>
        </w:rPr>
        <w:t xml:space="preserve">:  </w:t>
      </w:r>
    </w:p>
    <w:p w14:paraId="1F7387CE" w14:textId="77777777" w:rsidR="005056E2" w:rsidRPr="007F3619" w:rsidRDefault="005056E2" w:rsidP="005F749E">
      <w:pPr>
        <w:pStyle w:val="ListParagraph"/>
        <w:numPr>
          <w:ilvl w:val="0"/>
          <w:numId w:val="20"/>
        </w:numPr>
        <w:suppressAutoHyphens w:val="0"/>
        <w:autoSpaceDN/>
        <w:spacing w:after="120"/>
        <w:textAlignment w:val="auto"/>
        <w:rPr>
          <w:szCs w:val="24"/>
        </w:rPr>
      </w:pPr>
      <w:r>
        <w:rPr>
          <w:rFonts w:eastAsia="Times New Roman"/>
          <w:szCs w:val="24"/>
        </w:rPr>
        <w:t>Remaining</w:t>
      </w:r>
      <w:r w:rsidRPr="00871D10">
        <w:rPr>
          <w:rFonts w:eastAsia="Times New Roman"/>
          <w:szCs w:val="24"/>
        </w:rPr>
        <w:t xml:space="preserve"> work and </w:t>
      </w:r>
      <w:r>
        <w:rPr>
          <w:rFonts w:eastAsia="Times New Roman"/>
          <w:szCs w:val="24"/>
        </w:rPr>
        <w:t>associated</w:t>
      </w:r>
      <w:r w:rsidRPr="00871D10">
        <w:rPr>
          <w:rFonts w:eastAsia="Times New Roman"/>
          <w:szCs w:val="24"/>
        </w:rPr>
        <w:t xml:space="preserve"> costs;</w:t>
      </w:r>
    </w:p>
    <w:p w14:paraId="2E2DB391" w14:textId="77777777" w:rsidR="005056E2" w:rsidRPr="007F3619" w:rsidRDefault="005056E2" w:rsidP="005F749E">
      <w:pPr>
        <w:pStyle w:val="ListParagraph"/>
        <w:numPr>
          <w:ilvl w:val="0"/>
          <w:numId w:val="20"/>
        </w:numPr>
        <w:suppressAutoHyphens w:val="0"/>
        <w:autoSpaceDN/>
        <w:spacing w:after="120"/>
        <w:textAlignment w:val="auto"/>
        <w:rPr>
          <w:szCs w:val="24"/>
        </w:rPr>
      </w:pPr>
      <w:r w:rsidRPr="007F3619">
        <w:rPr>
          <w:rFonts w:eastAsia="Times New Roman"/>
          <w:szCs w:val="24"/>
        </w:rPr>
        <w:t>Anticipated timeline of when costs will be incurred and invoiced;</w:t>
      </w:r>
      <w:r>
        <w:rPr>
          <w:rFonts w:eastAsia="Times New Roman"/>
          <w:szCs w:val="24"/>
        </w:rPr>
        <w:t xml:space="preserve"> and</w:t>
      </w:r>
    </w:p>
    <w:p w14:paraId="2A4E9154" w14:textId="77777777" w:rsidR="005056E2" w:rsidRPr="007F3619" w:rsidRDefault="005056E2" w:rsidP="005F749E">
      <w:pPr>
        <w:pStyle w:val="ListParagraph"/>
        <w:numPr>
          <w:ilvl w:val="0"/>
          <w:numId w:val="20"/>
        </w:numPr>
        <w:suppressAutoHyphens w:val="0"/>
        <w:autoSpaceDN/>
        <w:spacing w:after="120"/>
        <w:textAlignment w:val="auto"/>
        <w:rPr>
          <w:szCs w:val="24"/>
        </w:rPr>
      </w:pPr>
      <w:r w:rsidRPr="007F3619">
        <w:rPr>
          <w:rFonts w:eastAsia="Times New Roman"/>
          <w:szCs w:val="24"/>
        </w:rPr>
        <w:t xml:space="preserve">Explanation </w:t>
      </w:r>
      <w:r>
        <w:rPr>
          <w:rFonts w:eastAsia="Times New Roman"/>
          <w:szCs w:val="24"/>
        </w:rPr>
        <w:t>of</w:t>
      </w:r>
      <w:r w:rsidRPr="007F3619">
        <w:rPr>
          <w:rFonts w:eastAsia="Times New Roman"/>
          <w:szCs w:val="24"/>
        </w:rPr>
        <w:t xml:space="preserve"> why these activities will not be invoiced by the existing deadline. </w:t>
      </w:r>
    </w:p>
    <w:p w14:paraId="2329FA37" w14:textId="77777777" w:rsidR="005056E2" w:rsidRPr="001D7E2E" w:rsidRDefault="005056E2" w:rsidP="005F749E">
      <w:pPr>
        <w:spacing w:after="120"/>
        <w:rPr>
          <w:szCs w:val="24"/>
        </w:rPr>
      </w:pPr>
      <w:r>
        <w:rPr>
          <w:szCs w:val="24"/>
        </w:rPr>
        <w:t xml:space="preserve">The Media Bureau will evaluate waiver requests and accompanying explanations </w:t>
      </w:r>
      <w:r w:rsidRPr="00642733">
        <w:rPr>
          <w:szCs w:val="24"/>
        </w:rPr>
        <w:t xml:space="preserve">on a case-by-case basis. </w:t>
      </w:r>
      <w:r w:rsidRPr="001D7E2E">
        <w:rPr>
          <w:szCs w:val="24"/>
        </w:rPr>
        <w:t>Note that waiver requests based on delays or issues associated with Form 399 submissions/reimbursement payments will not be considered a mitigating factor to waive/extend a station’s filing deadline.</w:t>
      </w:r>
    </w:p>
    <w:p w14:paraId="1C70DA63" w14:textId="0B32F070" w:rsidR="005056E2" w:rsidRDefault="005056E2" w:rsidP="005F749E">
      <w:pPr>
        <w:spacing w:after="120"/>
        <w:rPr>
          <w:szCs w:val="24"/>
        </w:rPr>
      </w:pPr>
      <w:r w:rsidRPr="0038169D">
        <w:rPr>
          <w:szCs w:val="24"/>
        </w:rPr>
        <w:t>The Media Bureau will issue a letter ruling on the request. Stations that receive an extended deadline should file invoices as soon as they are issued and should not wait to the extended deadline to file invoices.</w:t>
      </w:r>
    </w:p>
    <w:p w14:paraId="1E471F3A" w14:textId="7409498B" w:rsidR="00B87928" w:rsidRPr="00A90C18" w:rsidRDefault="00FD0262" w:rsidP="00A90C18">
      <w:pPr>
        <w:pStyle w:val="Heading1"/>
        <w:rPr>
          <w:rStyle w:val="Heading1Char"/>
          <w:rFonts w:ascii="Times New Roman" w:hAnsi="Times New Roman"/>
          <w:color w:val="auto"/>
          <w:sz w:val="28"/>
        </w:rPr>
      </w:pPr>
      <w:bookmarkStart w:id="15" w:name="_Toc38456182"/>
      <w:bookmarkEnd w:id="14"/>
      <w:r w:rsidRPr="00A90C18">
        <w:rPr>
          <w:rStyle w:val="Heading1Char"/>
          <w:rFonts w:ascii="Times New Roman" w:hAnsi="Times New Roman"/>
          <w:color w:val="auto"/>
          <w:sz w:val="28"/>
        </w:rPr>
        <w:lastRenderedPageBreak/>
        <w:t>Payment Process</w:t>
      </w:r>
      <w:r w:rsidR="00DF17E7">
        <w:rPr>
          <w:rStyle w:val="FootnoteReference"/>
        </w:rPr>
        <w:footnoteReference w:id="23"/>
      </w:r>
      <w:bookmarkEnd w:id="15"/>
    </w:p>
    <w:p w14:paraId="73ED23B6" w14:textId="77777777" w:rsidR="004C1E8F" w:rsidRPr="001B4F3C" w:rsidRDefault="004C1E8F" w:rsidP="004C1E8F">
      <w:pPr>
        <w:spacing w:before="240"/>
        <w:rPr>
          <w:rFonts w:cs="Times New Roman"/>
          <w:b/>
          <w:bCs/>
          <w:i/>
          <w:iCs/>
          <w:color w:val="2F5496"/>
          <w:szCs w:val="24"/>
        </w:rPr>
      </w:pPr>
      <w:r w:rsidRPr="001B4F3C">
        <w:rPr>
          <w:rFonts w:cs="Times New Roman"/>
          <w:b/>
          <w:bCs/>
          <w:i/>
          <w:iCs/>
          <w:color w:val="2F5496"/>
          <w:szCs w:val="24"/>
        </w:rPr>
        <w:t>How will stations receive reimbursement payments?</w:t>
      </w:r>
    </w:p>
    <w:p w14:paraId="6B7FED95" w14:textId="42051AB3" w:rsidR="004C1E8F" w:rsidRPr="001B4F3C" w:rsidRDefault="004C1E8F" w:rsidP="004C1E8F">
      <w:pPr>
        <w:spacing w:line="254" w:lineRule="auto"/>
        <w:rPr>
          <w:rFonts w:eastAsia="Times New Roman" w:cs="Times New Roman"/>
          <w:szCs w:val="24"/>
        </w:rPr>
      </w:pPr>
      <w:r w:rsidRPr="001B4F3C">
        <w:rPr>
          <w:rFonts w:eastAsia="Times New Roman" w:cs="Times New Roman"/>
          <w:szCs w:val="24"/>
        </w:rPr>
        <w:t xml:space="preserve">Stations will receive reimbursement </w:t>
      </w:r>
      <w:r w:rsidR="00756F34">
        <w:rPr>
          <w:rFonts w:eastAsia="Times New Roman" w:cs="Times New Roman"/>
          <w:szCs w:val="24"/>
        </w:rPr>
        <w:t xml:space="preserve">via </w:t>
      </w:r>
      <w:r w:rsidRPr="001B4F3C">
        <w:rPr>
          <w:rFonts w:eastAsia="Times New Roman" w:cs="Times New Roman"/>
          <w:szCs w:val="24"/>
        </w:rPr>
        <w:t xml:space="preserve">Automated Clearing House (ACH) payments from the U.S. Treasury into the bank account they identify on Form 1876. </w:t>
      </w:r>
    </w:p>
    <w:p w14:paraId="25CA5FB2" w14:textId="68DF2C08" w:rsidR="004C1E8F" w:rsidRPr="001B4F3C" w:rsidRDefault="004C1E8F" w:rsidP="004C1E8F">
      <w:pPr>
        <w:spacing w:before="240"/>
        <w:rPr>
          <w:szCs w:val="24"/>
        </w:rPr>
      </w:pPr>
      <w:r w:rsidRPr="001B4F3C">
        <w:rPr>
          <w:rFonts w:cs="Times New Roman"/>
          <w:b/>
          <w:bCs/>
          <w:i/>
          <w:iCs/>
          <w:color w:val="2F5496"/>
          <w:szCs w:val="24"/>
        </w:rPr>
        <w:t>How do I know how much was allocated for my LPTV</w:t>
      </w:r>
      <w:r w:rsidR="000967DE">
        <w:rPr>
          <w:rFonts w:cs="Times New Roman"/>
          <w:b/>
          <w:bCs/>
          <w:i/>
          <w:iCs/>
          <w:color w:val="2F5496"/>
          <w:szCs w:val="24"/>
        </w:rPr>
        <w:t>/Translator</w:t>
      </w:r>
      <w:r w:rsidRPr="001B4F3C">
        <w:rPr>
          <w:rFonts w:cs="Times New Roman"/>
          <w:b/>
          <w:bCs/>
          <w:i/>
          <w:iCs/>
          <w:color w:val="2F5496"/>
          <w:szCs w:val="24"/>
        </w:rPr>
        <w:t>?</w:t>
      </w:r>
    </w:p>
    <w:p w14:paraId="5FC5FF29" w14:textId="2D733ED6" w:rsidR="004C1E8F" w:rsidRPr="001B4F3C" w:rsidRDefault="004C1E8F" w:rsidP="004C1E8F">
      <w:pPr>
        <w:spacing w:line="254" w:lineRule="auto"/>
        <w:rPr>
          <w:rFonts w:cs="Times New Roman"/>
          <w:szCs w:val="24"/>
        </w:rPr>
      </w:pPr>
      <w:r w:rsidRPr="001B4F3C">
        <w:rPr>
          <w:rFonts w:eastAsia="Times New Roman" w:cs="Times New Roman"/>
          <w:szCs w:val="24"/>
        </w:rPr>
        <w:t xml:space="preserve">An entity can view its allocation through the FCC’s Commission Registration System (CORES) (available at: </w:t>
      </w:r>
      <w:hyperlink r:id="rId13" w:history="1">
        <w:r w:rsidRPr="001B4F3C">
          <w:rPr>
            <w:rStyle w:val="Hyperlink"/>
            <w:rFonts w:eastAsia="Times New Roman" w:cs="Times New Roman"/>
            <w:szCs w:val="24"/>
          </w:rPr>
          <w:t>https://www.fcc.gov/licensing-databases/fcc-registration-commission-registration-system</w:t>
        </w:r>
      </w:hyperlink>
      <w:r w:rsidRPr="001B4F3C">
        <w:rPr>
          <w:rFonts w:eastAsia="Times New Roman" w:cs="Times New Roman"/>
          <w:szCs w:val="24"/>
        </w:rPr>
        <w:t xml:space="preserve">). </w:t>
      </w:r>
      <w:r w:rsidR="0073287D">
        <w:rPr>
          <w:rFonts w:eastAsia="Times New Roman" w:cs="Times New Roman"/>
          <w:szCs w:val="24"/>
        </w:rPr>
        <w:t xml:space="preserve"> </w:t>
      </w:r>
      <w:r w:rsidRPr="001B4F3C">
        <w:rPr>
          <w:rFonts w:eastAsia="Times New Roman" w:cs="Times New Roman"/>
          <w:szCs w:val="24"/>
        </w:rPr>
        <w:t xml:space="preserve">The entity’s Authorized Agent(s) will see the exact amount allocated in the “Auction Payments” component of the CORES Incentive Auction Financial Module. </w:t>
      </w:r>
    </w:p>
    <w:p w14:paraId="49DABD62" w14:textId="77777777" w:rsidR="004C1E8F" w:rsidRPr="001B4F3C" w:rsidRDefault="004C1E8F" w:rsidP="004C1E8F">
      <w:pPr>
        <w:pStyle w:val="Heading2"/>
        <w:rPr>
          <w:sz w:val="24"/>
          <w:szCs w:val="24"/>
        </w:rPr>
      </w:pPr>
      <w:r w:rsidRPr="001B4F3C">
        <w:rPr>
          <w:sz w:val="24"/>
          <w:szCs w:val="24"/>
        </w:rPr>
        <w:br/>
      </w:r>
      <w:r w:rsidRPr="001B4F3C">
        <w:rPr>
          <w:rFonts w:ascii="Times New Roman" w:eastAsia="Yu Mincho" w:hAnsi="Times New Roman"/>
          <w:b/>
          <w:bCs/>
          <w:i/>
          <w:iCs/>
          <w:sz w:val="24"/>
          <w:szCs w:val="24"/>
        </w:rPr>
        <w:t>Can stations elect to have reimbursement payments sent directly to their vendors?</w:t>
      </w:r>
    </w:p>
    <w:p w14:paraId="55BF78E6" w14:textId="607788F6" w:rsidR="006F47DA" w:rsidRDefault="004C1E8F" w:rsidP="006F47DA">
      <w:pPr>
        <w:rPr>
          <w:rFonts w:eastAsia="Times New Roman" w:cs="Times New Roman"/>
          <w:szCs w:val="24"/>
        </w:rPr>
      </w:pPr>
      <w:r w:rsidRPr="001B4F3C">
        <w:rPr>
          <w:rFonts w:eastAsia="Times New Roman" w:cs="Times New Roman"/>
          <w:szCs w:val="24"/>
        </w:rPr>
        <w:t xml:space="preserve">No, payments from the TV Broadcaster Relocation Fund can be made only to </w:t>
      </w:r>
      <w:r w:rsidR="00777120">
        <w:rPr>
          <w:rFonts w:eastAsia="Times New Roman" w:cs="Times New Roman"/>
          <w:szCs w:val="24"/>
        </w:rPr>
        <w:t xml:space="preserve">eligible </w:t>
      </w:r>
      <w:r w:rsidR="0073287D">
        <w:rPr>
          <w:rFonts w:eastAsia="Times New Roman" w:cs="Times New Roman"/>
          <w:szCs w:val="24"/>
        </w:rPr>
        <w:t>displaced LPTV/Translator station</w:t>
      </w:r>
      <w:r w:rsidRPr="001B4F3C">
        <w:rPr>
          <w:rFonts w:eastAsia="Times New Roman" w:cs="Times New Roman"/>
          <w:szCs w:val="24"/>
        </w:rPr>
        <w:t xml:space="preserve"> that </w:t>
      </w:r>
      <w:r w:rsidR="0073287D">
        <w:rPr>
          <w:rFonts w:eastAsia="Times New Roman" w:cs="Times New Roman"/>
          <w:szCs w:val="24"/>
        </w:rPr>
        <w:t xml:space="preserve">reasonably </w:t>
      </w:r>
      <w:r w:rsidRPr="001B4F3C">
        <w:rPr>
          <w:rFonts w:eastAsia="Times New Roman" w:cs="Times New Roman"/>
          <w:szCs w:val="24"/>
        </w:rPr>
        <w:t xml:space="preserve">incur expenses </w:t>
      </w:r>
      <w:r w:rsidR="00A54FB0">
        <w:rPr>
          <w:rFonts w:eastAsia="Times New Roman" w:cs="Times New Roman"/>
          <w:szCs w:val="24"/>
        </w:rPr>
        <w:t>for</w:t>
      </w:r>
      <w:r w:rsidR="0073287D" w:rsidRPr="0073287D">
        <w:rPr>
          <w:rFonts w:eastAsia="Times New Roman" w:cs="Times New Roman"/>
          <w:szCs w:val="24"/>
        </w:rPr>
        <w:t xml:space="preserve"> the station to relocate service from one channel to another channel or otherwise modify its facility as a result of the </w:t>
      </w:r>
      <w:r w:rsidR="00A54FB0">
        <w:rPr>
          <w:rFonts w:eastAsia="Times New Roman" w:cs="Times New Roman"/>
          <w:szCs w:val="24"/>
        </w:rPr>
        <w:t>repack</w:t>
      </w:r>
      <w:r w:rsidRPr="001B4F3C">
        <w:rPr>
          <w:rFonts w:eastAsia="Times New Roman" w:cs="Times New Roman"/>
          <w:szCs w:val="24"/>
        </w:rPr>
        <w:t>.</w:t>
      </w:r>
      <w:r w:rsidR="0073287D">
        <w:rPr>
          <w:rFonts w:eastAsia="Times New Roman" w:cs="Times New Roman"/>
          <w:szCs w:val="24"/>
        </w:rPr>
        <w:t xml:space="preserve"> </w:t>
      </w:r>
      <w:r w:rsidRPr="001B4F3C">
        <w:rPr>
          <w:rFonts w:eastAsia="Times New Roman" w:cs="Times New Roman"/>
          <w:szCs w:val="24"/>
        </w:rPr>
        <w:t xml:space="preserve"> The LPTV</w:t>
      </w:r>
      <w:r w:rsidR="000967DE">
        <w:rPr>
          <w:rFonts w:eastAsia="Times New Roman" w:cs="Times New Roman"/>
          <w:szCs w:val="24"/>
        </w:rPr>
        <w:t>/Translator</w:t>
      </w:r>
      <w:r w:rsidRPr="001B4F3C">
        <w:rPr>
          <w:rFonts w:eastAsia="Times New Roman" w:cs="Times New Roman"/>
          <w:szCs w:val="24"/>
        </w:rPr>
        <w:t xml:space="preserve"> must have a completed Form 1876 on file with information about the bank account into which the reimbursement payments will be made.  Equipment vendors and service providers cannot be paid directly from the Fund.</w:t>
      </w:r>
    </w:p>
    <w:p w14:paraId="395F0C6E" w14:textId="77777777" w:rsidR="006F47DA" w:rsidRDefault="006F47DA" w:rsidP="006F47DA">
      <w:pPr>
        <w:rPr>
          <w:rFonts w:eastAsia="Times New Roman" w:cs="Times New Roman"/>
          <w:szCs w:val="24"/>
        </w:rPr>
      </w:pPr>
    </w:p>
    <w:p w14:paraId="06A7F724" w14:textId="2D8DF0E3" w:rsidR="004C1E8F" w:rsidRPr="006F47DA" w:rsidRDefault="004C1E8F" w:rsidP="006F47DA">
      <w:pPr>
        <w:pStyle w:val="Heading2"/>
        <w:spacing w:before="0"/>
        <w:rPr>
          <w:rFonts w:ascii="Times New Roman" w:eastAsia="Yu Mincho" w:hAnsi="Times New Roman"/>
          <w:b/>
          <w:bCs/>
          <w:i/>
          <w:iCs/>
          <w:sz w:val="24"/>
          <w:szCs w:val="24"/>
        </w:rPr>
      </w:pPr>
      <w:r w:rsidRPr="001B4F3C">
        <w:rPr>
          <w:rFonts w:ascii="Times New Roman" w:eastAsia="Yu Mincho" w:hAnsi="Times New Roman"/>
          <w:b/>
          <w:bCs/>
          <w:i/>
          <w:iCs/>
          <w:sz w:val="24"/>
          <w:szCs w:val="24"/>
        </w:rPr>
        <w:t>How quickly will a station receive a reimbursement payment?</w:t>
      </w:r>
    </w:p>
    <w:p w14:paraId="74C0DF17" w14:textId="2B3F24B2" w:rsidR="004C1E8F" w:rsidRPr="001B4F3C" w:rsidRDefault="004C1E8F" w:rsidP="004C1E8F">
      <w:pPr>
        <w:rPr>
          <w:szCs w:val="24"/>
        </w:rPr>
      </w:pPr>
      <w:r w:rsidRPr="001B4F3C">
        <w:rPr>
          <w:rFonts w:eastAsia="Times New Roman" w:cs="Times New Roman"/>
          <w:szCs w:val="24"/>
        </w:rPr>
        <w:t xml:space="preserve">After the </w:t>
      </w:r>
      <w:r w:rsidR="000967DE">
        <w:rPr>
          <w:rFonts w:eastAsia="Times New Roman" w:cs="Times New Roman"/>
          <w:szCs w:val="24"/>
        </w:rPr>
        <w:t>Commission</w:t>
      </w:r>
      <w:r w:rsidRPr="001B4F3C">
        <w:rPr>
          <w:rFonts w:eastAsia="Times New Roman" w:cs="Times New Roman"/>
          <w:szCs w:val="24"/>
        </w:rPr>
        <w:t xml:space="preserve"> makes an initial allocation for each LPTV</w:t>
      </w:r>
      <w:r w:rsidR="000967DE">
        <w:rPr>
          <w:rFonts w:eastAsia="Times New Roman" w:cs="Times New Roman"/>
          <w:szCs w:val="24"/>
        </w:rPr>
        <w:t>/Translator</w:t>
      </w:r>
      <w:r w:rsidRPr="001B4F3C">
        <w:rPr>
          <w:rFonts w:eastAsia="Times New Roman" w:cs="Times New Roman"/>
          <w:szCs w:val="24"/>
        </w:rPr>
        <w:t xml:space="preserve">, a station can draw down against its individual allocation amount.  Invoices for </w:t>
      </w:r>
      <w:r w:rsidR="00777120" w:rsidRPr="001B4F3C">
        <w:rPr>
          <w:rFonts w:eastAsia="Times New Roman" w:cs="Times New Roman"/>
          <w:szCs w:val="24"/>
        </w:rPr>
        <w:t xml:space="preserve">incurred </w:t>
      </w:r>
      <w:r w:rsidRPr="001B4F3C">
        <w:rPr>
          <w:rFonts w:eastAsia="Times New Roman" w:cs="Times New Roman"/>
          <w:szCs w:val="24"/>
        </w:rPr>
        <w:t xml:space="preserve">expenses </w:t>
      </w:r>
      <w:r w:rsidR="00777120">
        <w:rPr>
          <w:rFonts w:eastAsia="Times New Roman" w:cs="Times New Roman"/>
          <w:szCs w:val="24"/>
        </w:rPr>
        <w:t xml:space="preserve">that are </w:t>
      </w:r>
      <w:r w:rsidRPr="001B4F3C">
        <w:rPr>
          <w:rFonts w:eastAsia="Times New Roman" w:cs="Times New Roman"/>
          <w:szCs w:val="24"/>
        </w:rPr>
        <w:t xml:space="preserve">submitted </w:t>
      </w:r>
      <w:r w:rsidR="00777120">
        <w:rPr>
          <w:rFonts w:eastAsia="Times New Roman" w:cs="Times New Roman"/>
          <w:szCs w:val="24"/>
        </w:rPr>
        <w:t>on</w:t>
      </w:r>
      <w:r w:rsidR="00777120" w:rsidRPr="001B4F3C">
        <w:rPr>
          <w:rFonts w:eastAsia="Times New Roman" w:cs="Times New Roman"/>
          <w:szCs w:val="24"/>
        </w:rPr>
        <w:t xml:space="preserve"> </w:t>
      </w:r>
      <w:r w:rsidRPr="001B4F3C">
        <w:rPr>
          <w:rFonts w:eastAsia="Times New Roman" w:cs="Times New Roman"/>
          <w:szCs w:val="24"/>
        </w:rPr>
        <w:t xml:space="preserve">Form 399 will be reviewed by the Media Bureau’s Fund Administrator and approved payment requests will be sent from the Commission to the U.S. Treasury for disbursement.  There are many variables that affect the timing of receipt of payments.  Stations can facilitate </w:t>
      </w:r>
      <w:r w:rsidR="00777120">
        <w:rPr>
          <w:rFonts w:eastAsia="Times New Roman" w:cs="Times New Roman"/>
          <w:szCs w:val="24"/>
        </w:rPr>
        <w:t>timely</w:t>
      </w:r>
      <w:r w:rsidR="00777120" w:rsidRPr="001B4F3C">
        <w:rPr>
          <w:rFonts w:eastAsia="Times New Roman" w:cs="Times New Roman"/>
          <w:szCs w:val="24"/>
        </w:rPr>
        <w:t xml:space="preserve"> </w:t>
      </w:r>
      <w:r w:rsidRPr="001B4F3C">
        <w:rPr>
          <w:rFonts w:eastAsia="Times New Roman" w:cs="Times New Roman"/>
          <w:szCs w:val="24"/>
        </w:rPr>
        <w:t xml:space="preserve">processing </w:t>
      </w:r>
      <w:r w:rsidR="00777120">
        <w:rPr>
          <w:rFonts w:eastAsia="Times New Roman" w:cs="Times New Roman"/>
          <w:szCs w:val="24"/>
        </w:rPr>
        <w:t xml:space="preserve">or requests </w:t>
      </w:r>
      <w:r w:rsidRPr="001B4F3C">
        <w:rPr>
          <w:rFonts w:eastAsia="Times New Roman" w:cs="Times New Roman"/>
          <w:szCs w:val="24"/>
        </w:rPr>
        <w:t xml:space="preserve">by ensuring </w:t>
      </w:r>
      <w:r w:rsidR="00777120">
        <w:rPr>
          <w:rFonts w:eastAsia="Times New Roman" w:cs="Times New Roman"/>
          <w:szCs w:val="24"/>
        </w:rPr>
        <w:t xml:space="preserve">the accuracy of all information entered on the form and attaching </w:t>
      </w:r>
      <w:r w:rsidRPr="001B4F3C">
        <w:rPr>
          <w:rFonts w:eastAsia="Times New Roman" w:cs="Times New Roman"/>
          <w:szCs w:val="24"/>
        </w:rPr>
        <w:t xml:space="preserve">any </w:t>
      </w:r>
      <w:r w:rsidR="00777120">
        <w:rPr>
          <w:rFonts w:eastAsia="Times New Roman" w:cs="Times New Roman"/>
          <w:szCs w:val="24"/>
        </w:rPr>
        <w:t>explanatory and/or documentary materials needed to justify an expense.</w:t>
      </w:r>
      <w:r w:rsidRPr="001B4F3C">
        <w:rPr>
          <w:rFonts w:eastAsia="Times New Roman" w:cs="Times New Roman"/>
          <w:szCs w:val="24"/>
        </w:rPr>
        <w:t xml:space="preserve"> </w:t>
      </w:r>
      <w:r w:rsidR="00777120">
        <w:rPr>
          <w:rFonts w:eastAsia="Times New Roman" w:cs="Times New Roman"/>
          <w:szCs w:val="24"/>
        </w:rPr>
        <w:t>The Station also must have completed the</w:t>
      </w:r>
      <w:r w:rsidRPr="001B4F3C">
        <w:rPr>
          <w:rFonts w:eastAsia="Times New Roman" w:cs="Times New Roman"/>
          <w:szCs w:val="24"/>
        </w:rPr>
        <w:t xml:space="preserve"> Form 1876 process so approved payments can be transferred to the station’s bank account.   </w:t>
      </w:r>
    </w:p>
    <w:p w14:paraId="263B6C58" w14:textId="77777777" w:rsidR="004C1E8F" w:rsidRPr="001B4F3C" w:rsidRDefault="004C1E8F" w:rsidP="004C1E8F">
      <w:pPr>
        <w:rPr>
          <w:szCs w:val="24"/>
        </w:rPr>
      </w:pPr>
    </w:p>
    <w:p w14:paraId="50B83087" w14:textId="77777777" w:rsidR="004C1E8F" w:rsidRPr="001B4F3C" w:rsidRDefault="004C1E8F" w:rsidP="004C1E8F">
      <w:pPr>
        <w:pStyle w:val="Heading2"/>
        <w:spacing w:before="0"/>
        <w:rPr>
          <w:rFonts w:ascii="Times New Roman" w:eastAsia="Yu Mincho" w:hAnsi="Times New Roman"/>
          <w:b/>
          <w:bCs/>
          <w:i/>
          <w:iCs/>
          <w:sz w:val="24"/>
          <w:szCs w:val="24"/>
        </w:rPr>
      </w:pPr>
      <w:r w:rsidRPr="001B4F3C">
        <w:rPr>
          <w:rFonts w:ascii="Times New Roman" w:eastAsia="Yu Mincho" w:hAnsi="Times New Roman"/>
          <w:b/>
          <w:bCs/>
          <w:i/>
          <w:iCs/>
          <w:sz w:val="24"/>
          <w:szCs w:val="24"/>
        </w:rPr>
        <w:t>What information must a vendor invoice submitted for reimbursement contain?</w:t>
      </w:r>
    </w:p>
    <w:p w14:paraId="452A8C9A" w14:textId="2A6DA818" w:rsidR="004C1E8F" w:rsidRPr="001B4F3C" w:rsidRDefault="004C1E8F" w:rsidP="004C1E8F">
      <w:pPr>
        <w:spacing w:line="276" w:lineRule="auto"/>
        <w:rPr>
          <w:rFonts w:eastAsia="Times New Roman" w:cs="Times New Roman"/>
          <w:szCs w:val="24"/>
        </w:rPr>
      </w:pPr>
      <w:r w:rsidRPr="001B4F3C">
        <w:rPr>
          <w:rFonts w:eastAsia="Times New Roman" w:cs="Times New Roman"/>
          <w:szCs w:val="24"/>
        </w:rPr>
        <w:t>Invoices submitted by LPTV</w:t>
      </w:r>
      <w:r w:rsidR="000967DE">
        <w:rPr>
          <w:rFonts w:eastAsia="Times New Roman" w:cs="Times New Roman"/>
          <w:szCs w:val="24"/>
        </w:rPr>
        <w:t>/Translator</w:t>
      </w:r>
      <w:r w:rsidRPr="001B4F3C">
        <w:rPr>
          <w:rFonts w:eastAsia="Times New Roman" w:cs="Times New Roman"/>
          <w:szCs w:val="24"/>
        </w:rPr>
        <w:t>s for reimbursement must include the following information:</w:t>
      </w:r>
    </w:p>
    <w:p w14:paraId="0C60B675" w14:textId="77777777" w:rsidR="004C1E8F" w:rsidRPr="001B4F3C" w:rsidRDefault="004C1E8F" w:rsidP="004C1E8F">
      <w:pPr>
        <w:pStyle w:val="ListParagraph"/>
        <w:numPr>
          <w:ilvl w:val="0"/>
          <w:numId w:val="8"/>
        </w:numPr>
        <w:spacing w:line="276" w:lineRule="auto"/>
        <w:rPr>
          <w:szCs w:val="24"/>
        </w:rPr>
      </w:pPr>
      <w:r w:rsidRPr="001B4F3C">
        <w:rPr>
          <w:rFonts w:eastAsia="Times New Roman" w:cs="Times New Roman"/>
          <w:szCs w:val="24"/>
        </w:rPr>
        <w:t>Name of the vendor providing the service or equipment;</w:t>
      </w:r>
    </w:p>
    <w:p w14:paraId="7544570E" w14:textId="77777777" w:rsidR="004C1E8F" w:rsidRPr="001B4F3C" w:rsidRDefault="004C1E8F" w:rsidP="004C1E8F">
      <w:pPr>
        <w:pStyle w:val="ListParagraph"/>
        <w:numPr>
          <w:ilvl w:val="0"/>
          <w:numId w:val="8"/>
        </w:numPr>
        <w:spacing w:line="276" w:lineRule="auto"/>
        <w:rPr>
          <w:szCs w:val="24"/>
        </w:rPr>
      </w:pPr>
      <w:r w:rsidRPr="001B4F3C">
        <w:rPr>
          <w:rFonts w:eastAsia="Times New Roman" w:cs="Times New Roman"/>
          <w:szCs w:val="24"/>
        </w:rPr>
        <w:t>Invoice number (assigned by the vendor);</w:t>
      </w:r>
    </w:p>
    <w:p w14:paraId="59CCA8E6" w14:textId="77777777" w:rsidR="004C1E8F" w:rsidRPr="001B4F3C" w:rsidRDefault="004C1E8F" w:rsidP="004C1E8F">
      <w:pPr>
        <w:pStyle w:val="ListParagraph"/>
        <w:numPr>
          <w:ilvl w:val="0"/>
          <w:numId w:val="8"/>
        </w:numPr>
        <w:spacing w:line="276" w:lineRule="auto"/>
        <w:rPr>
          <w:szCs w:val="24"/>
        </w:rPr>
      </w:pPr>
      <w:r w:rsidRPr="001B4F3C">
        <w:rPr>
          <w:rFonts w:eastAsia="Times New Roman" w:cs="Times New Roman"/>
          <w:szCs w:val="24"/>
        </w:rPr>
        <w:t>Invoice date;</w:t>
      </w:r>
    </w:p>
    <w:p w14:paraId="1B78604A" w14:textId="77777777" w:rsidR="004C1E8F" w:rsidRPr="001B4F3C" w:rsidRDefault="004C1E8F" w:rsidP="004C1E8F">
      <w:pPr>
        <w:pStyle w:val="ListParagraph"/>
        <w:numPr>
          <w:ilvl w:val="0"/>
          <w:numId w:val="8"/>
        </w:numPr>
        <w:spacing w:line="276" w:lineRule="auto"/>
        <w:rPr>
          <w:szCs w:val="24"/>
        </w:rPr>
      </w:pPr>
      <w:r w:rsidRPr="001B4F3C">
        <w:rPr>
          <w:rFonts w:eastAsia="Times New Roman" w:cs="Times New Roman"/>
          <w:szCs w:val="24"/>
        </w:rPr>
        <w:t>Payment due date;</w:t>
      </w:r>
    </w:p>
    <w:p w14:paraId="7412BD76" w14:textId="77777777" w:rsidR="004C1E8F" w:rsidRPr="001B4F3C" w:rsidRDefault="004C1E8F" w:rsidP="004C1E8F">
      <w:pPr>
        <w:pStyle w:val="ListParagraph"/>
        <w:numPr>
          <w:ilvl w:val="0"/>
          <w:numId w:val="8"/>
        </w:numPr>
        <w:spacing w:line="276" w:lineRule="auto"/>
        <w:rPr>
          <w:szCs w:val="24"/>
        </w:rPr>
      </w:pPr>
      <w:r w:rsidRPr="001B4F3C">
        <w:rPr>
          <w:rFonts w:eastAsia="Times New Roman" w:cs="Times New Roman"/>
          <w:szCs w:val="24"/>
        </w:rPr>
        <w:t>Employer Identification Number (EIN) or Taxpayer Identification Number (TIN) of the vendor;</w:t>
      </w:r>
    </w:p>
    <w:p w14:paraId="0DFB5C1E" w14:textId="77777777" w:rsidR="004C1E8F" w:rsidRPr="001B4F3C" w:rsidRDefault="004C1E8F" w:rsidP="004C1E8F">
      <w:pPr>
        <w:pStyle w:val="ListParagraph"/>
        <w:numPr>
          <w:ilvl w:val="0"/>
          <w:numId w:val="8"/>
        </w:numPr>
        <w:spacing w:line="276" w:lineRule="auto"/>
        <w:rPr>
          <w:szCs w:val="24"/>
        </w:rPr>
      </w:pPr>
      <w:r w:rsidRPr="001B4F3C">
        <w:rPr>
          <w:rFonts w:eastAsia="Times New Roman" w:cs="Times New Roman"/>
          <w:szCs w:val="24"/>
        </w:rPr>
        <w:t>Description of the service provided, or equipment purchased;</w:t>
      </w:r>
    </w:p>
    <w:p w14:paraId="7F09B54C" w14:textId="77777777" w:rsidR="004C1E8F" w:rsidRPr="001B4F3C" w:rsidRDefault="004C1E8F" w:rsidP="004C1E8F">
      <w:pPr>
        <w:pStyle w:val="ListParagraph"/>
        <w:numPr>
          <w:ilvl w:val="0"/>
          <w:numId w:val="8"/>
        </w:numPr>
        <w:spacing w:line="276" w:lineRule="auto"/>
        <w:rPr>
          <w:szCs w:val="24"/>
        </w:rPr>
      </w:pPr>
      <w:r w:rsidRPr="001B4F3C">
        <w:rPr>
          <w:rFonts w:eastAsia="Times New Roman" w:cs="Times New Roman"/>
          <w:szCs w:val="24"/>
        </w:rPr>
        <w:lastRenderedPageBreak/>
        <w:t>Total amount due; and</w:t>
      </w:r>
    </w:p>
    <w:p w14:paraId="327D32F9" w14:textId="57C76CC3" w:rsidR="004C1E8F" w:rsidRPr="001B4F3C" w:rsidRDefault="004C1E8F" w:rsidP="004C1E8F">
      <w:pPr>
        <w:pStyle w:val="ListParagraph"/>
        <w:numPr>
          <w:ilvl w:val="0"/>
          <w:numId w:val="8"/>
        </w:numPr>
        <w:spacing w:line="276" w:lineRule="auto"/>
      </w:pPr>
      <w:r w:rsidRPr="14267BFB">
        <w:rPr>
          <w:rFonts w:eastAsia="Times New Roman" w:cs="Times New Roman"/>
        </w:rPr>
        <w:t>Name of the station licensee and call sign, or facility ID, or name of the LPTV incurring the expense</w:t>
      </w:r>
      <w:r>
        <w:br/>
      </w:r>
    </w:p>
    <w:p w14:paraId="081958CC" w14:textId="77777777" w:rsidR="004C1E8F" w:rsidRPr="001B4F3C" w:rsidRDefault="004C1E8F" w:rsidP="004C1E8F">
      <w:pPr>
        <w:pStyle w:val="Heading2"/>
        <w:rPr>
          <w:rFonts w:ascii="Times New Roman" w:eastAsia="Yu Mincho" w:hAnsi="Times New Roman"/>
          <w:b/>
          <w:bCs/>
          <w:i/>
          <w:iCs/>
          <w:sz w:val="24"/>
          <w:szCs w:val="24"/>
        </w:rPr>
      </w:pPr>
      <w:r w:rsidRPr="001B4F3C">
        <w:rPr>
          <w:rFonts w:ascii="Times New Roman" w:eastAsia="Yu Mincho" w:hAnsi="Times New Roman"/>
          <w:b/>
          <w:bCs/>
          <w:i/>
          <w:iCs/>
          <w:sz w:val="24"/>
          <w:szCs w:val="24"/>
        </w:rPr>
        <w:t xml:space="preserve">If a submission is deemed reasonable after the estimate review phase, will it also be considered reimbursable when the station files an actual reimbursement claim? </w:t>
      </w:r>
    </w:p>
    <w:p w14:paraId="4F703185" w14:textId="0E510353" w:rsidR="004C1E8F" w:rsidRDefault="004C1E8F" w:rsidP="004C1E8F">
      <w:pPr>
        <w:rPr>
          <w:rFonts w:eastAsia="Times New Roman" w:cs="Times New Roman"/>
          <w:szCs w:val="24"/>
        </w:rPr>
      </w:pPr>
      <w:r w:rsidRPr="001B4F3C">
        <w:rPr>
          <w:rFonts w:eastAsia="Times New Roman" w:cs="Times New Roman"/>
          <w:szCs w:val="24"/>
        </w:rPr>
        <w:t>During the estimate review phase, the Fund Administrator will conduct a detailed review of all estimates submitted.  If the Fund Administrator identifies any missing required documentation or has any questions, the li</w:t>
      </w:r>
      <w:r w:rsidR="000967DE">
        <w:rPr>
          <w:rFonts w:eastAsia="Times New Roman" w:cs="Times New Roman"/>
          <w:szCs w:val="24"/>
        </w:rPr>
        <w:t>ne i</w:t>
      </w:r>
      <w:r w:rsidRPr="001B4F3C">
        <w:rPr>
          <w:rFonts w:eastAsia="Times New Roman" w:cs="Times New Roman"/>
          <w:szCs w:val="24"/>
        </w:rPr>
        <w:t xml:space="preserve">tem will be rejected. </w:t>
      </w:r>
      <w:r w:rsidR="00A54FB0">
        <w:rPr>
          <w:rFonts w:eastAsia="Times New Roman" w:cs="Times New Roman"/>
          <w:szCs w:val="24"/>
        </w:rPr>
        <w:t xml:space="preserve"> </w:t>
      </w:r>
      <w:r w:rsidRPr="001B4F3C">
        <w:rPr>
          <w:rFonts w:eastAsia="Times New Roman" w:cs="Times New Roman"/>
          <w:szCs w:val="24"/>
        </w:rPr>
        <w:t xml:space="preserve">The station may provide a detailed explanation or justification and resubmit the cost estimate. </w:t>
      </w:r>
    </w:p>
    <w:p w14:paraId="54F95274" w14:textId="77777777" w:rsidR="00777120" w:rsidRPr="001B4F3C" w:rsidRDefault="00777120" w:rsidP="004C1E8F">
      <w:pPr>
        <w:rPr>
          <w:rFonts w:eastAsia="Times New Roman" w:cs="Times New Roman"/>
          <w:szCs w:val="24"/>
        </w:rPr>
      </w:pPr>
    </w:p>
    <w:p w14:paraId="190E0D41" w14:textId="14AD738A" w:rsidR="004C1E8F" w:rsidRPr="001B4F3C" w:rsidRDefault="004C1E8F" w:rsidP="000967DE">
      <w:pPr>
        <w:rPr>
          <w:rFonts w:eastAsia="Yu Mincho" w:cs="Times New Roman"/>
          <w:szCs w:val="24"/>
        </w:rPr>
      </w:pPr>
      <w:r w:rsidRPr="001B4F3C">
        <w:rPr>
          <w:rFonts w:eastAsia="Yu Mincho" w:cs="Times New Roman"/>
          <w:szCs w:val="24"/>
        </w:rPr>
        <w:t xml:space="preserve">If a station later submits an invoice requesting reimbursement for an expense that was included in its estimate submission and was deemed reasonable, that expense will be reviewed for sufficiency of documentation (e.g., invoice) and consideration of whether the station made any changes in transition plan, station construction, or equipment or service purchased.  </w:t>
      </w:r>
    </w:p>
    <w:p w14:paraId="4B1F2EE2" w14:textId="77777777" w:rsidR="004C1E8F" w:rsidRPr="001B4F3C" w:rsidRDefault="004C1E8F" w:rsidP="004C1E8F">
      <w:pPr>
        <w:rPr>
          <w:rFonts w:eastAsia="Times New Roman" w:cs="Times New Roman"/>
          <w:szCs w:val="24"/>
        </w:rPr>
      </w:pPr>
    </w:p>
    <w:p w14:paraId="06567DC1" w14:textId="77777777" w:rsidR="004C1E8F" w:rsidRPr="001B4F3C" w:rsidRDefault="004C1E8F" w:rsidP="004C1E8F">
      <w:pPr>
        <w:rPr>
          <w:rFonts w:eastAsia="Times New Roman" w:cs="Times New Roman"/>
          <w:szCs w:val="24"/>
        </w:rPr>
      </w:pPr>
      <w:r w:rsidRPr="001B4F3C">
        <w:rPr>
          <w:rFonts w:eastAsia="Times New Roman" w:cs="Times New Roman"/>
          <w:szCs w:val="24"/>
        </w:rPr>
        <w:t xml:space="preserve">If the actual cost of the equipment or service has increased above what the station estimated, or the station purchases equipment or services that are different from what it reported when it submitted its cost estimates, the station will be asked to revise and resubmit its estimate to reflect its updated understanding of its expenses.  The Fund Administrator will review this documentation and recommend payment for those revised expenses deemed reasonable.  Payments for reasonably incurred expenses that have sufficient documentation will be made, subject to availability of funding.  </w:t>
      </w:r>
    </w:p>
    <w:p w14:paraId="3F230CEF" w14:textId="03F7F132" w:rsidR="004C1E8F" w:rsidRPr="001B4F3C" w:rsidRDefault="004C1E8F" w:rsidP="004C1E8F">
      <w:pPr>
        <w:rPr>
          <w:szCs w:val="24"/>
        </w:rPr>
      </w:pPr>
      <w:r w:rsidRPr="001B4F3C">
        <w:rPr>
          <w:szCs w:val="24"/>
        </w:rPr>
        <w:br/>
      </w:r>
      <w:r w:rsidRPr="001B4F3C">
        <w:rPr>
          <w:rFonts w:eastAsia="Yu Mincho" w:cs="Times New Roman"/>
          <w:b/>
          <w:bCs/>
          <w:i/>
          <w:iCs/>
          <w:color w:val="2F5496"/>
          <w:szCs w:val="24"/>
        </w:rPr>
        <w:t xml:space="preserve">Must my invoices be paid in full prior to submitting them? </w:t>
      </w:r>
      <w:r w:rsidRPr="001B4F3C">
        <w:rPr>
          <w:rFonts w:eastAsia="Yu Mincho" w:cs="Times New Roman"/>
          <w:b/>
          <w:bCs/>
          <w:i/>
          <w:iCs/>
          <w:color w:val="2F5496"/>
          <w:szCs w:val="24"/>
        </w:rPr>
        <w:br/>
      </w:r>
      <w:r w:rsidR="00777120">
        <w:rPr>
          <w:szCs w:val="24"/>
        </w:rPr>
        <w:t xml:space="preserve">It depends on whether the invoice is for equipment or services. You </w:t>
      </w:r>
      <w:r w:rsidR="00777120" w:rsidRPr="001D0B2A">
        <w:rPr>
          <w:b/>
          <w:bCs/>
          <w:szCs w:val="24"/>
        </w:rPr>
        <w:t>do not</w:t>
      </w:r>
      <w:r w:rsidR="00777120">
        <w:rPr>
          <w:b/>
          <w:bCs/>
          <w:szCs w:val="24"/>
        </w:rPr>
        <w:t xml:space="preserve"> </w:t>
      </w:r>
      <w:r w:rsidR="00777120" w:rsidRPr="001D0B2A">
        <w:rPr>
          <w:szCs w:val="24"/>
        </w:rPr>
        <w:t>need</w:t>
      </w:r>
      <w:r w:rsidR="00777120" w:rsidRPr="00777120">
        <w:rPr>
          <w:szCs w:val="24"/>
        </w:rPr>
        <w:t xml:space="preserve"> </w:t>
      </w:r>
      <w:r w:rsidR="00777120">
        <w:rPr>
          <w:szCs w:val="24"/>
        </w:rPr>
        <w:t>to pay</w:t>
      </w:r>
      <w:r w:rsidRPr="001B4F3C">
        <w:rPr>
          <w:szCs w:val="24"/>
        </w:rPr>
        <w:t xml:space="preserve"> an</w:t>
      </w:r>
      <w:r w:rsidR="00A94C45">
        <w:rPr>
          <w:szCs w:val="24"/>
        </w:rPr>
        <w:t xml:space="preserve"> </w:t>
      </w:r>
      <w:r w:rsidRPr="001B4F3C">
        <w:rPr>
          <w:szCs w:val="24"/>
        </w:rPr>
        <w:t xml:space="preserve">equipment invoice </w:t>
      </w:r>
      <w:r w:rsidR="00777120">
        <w:rPr>
          <w:szCs w:val="24"/>
        </w:rPr>
        <w:t>before</w:t>
      </w:r>
      <w:r w:rsidRPr="001B4F3C">
        <w:rPr>
          <w:szCs w:val="24"/>
        </w:rPr>
        <w:t xml:space="preserve"> submit</w:t>
      </w:r>
      <w:r w:rsidR="00777120">
        <w:rPr>
          <w:szCs w:val="24"/>
        </w:rPr>
        <w:t>ting</w:t>
      </w:r>
      <w:r w:rsidRPr="001B4F3C">
        <w:rPr>
          <w:szCs w:val="24"/>
        </w:rPr>
        <w:t xml:space="preserve"> it </w:t>
      </w:r>
      <w:r w:rsidR="00777120">
        <w:rPr>
          <w:szCs w:val="24"/>
        </w:rPr>
        <w:t xml:space="preserve">for payment </w:t>
      </w:r>
      <w:r w:rsidRPr="001B4F3C">
        <w:rPr>
          <w:szCs w:val="24"/>
        </w:rPr>
        <w:t xml:space="preserve">with Form 399.  The invoice must show that a valid payment is </w:t>
      </w:r>
      <w:r w:rsidRPr="001B4F3C">
        <w:rPr>
          <w:i/>
          <w:szCs w:val="24"/>
        </w:rPr>
        <w:t xml:space="preserve">owed </w:t>
      </w:r>
      <w:r w:rsidRPr="001B4F3C">
        <w:rPr>
          <w:szCs w:val="24"/>
        </w:rPr>
        <w:t xml:space="preserve">and </w:t>
      </w:r>
      <w:r w:rsidRPr="001B4F3C">
        <w:rPr>
          <w:i/>
          <w:szCs w:val="24"/>
        </w:rPr>
        <w:t xml:space="preserve">due </w:t>
      </w:r>
      <w:r w:rsidRPr="001B4F3C">
        <w:rPr>
          <w:szCs w:val="24"/>
        </w:rPr>
        <w:t xml:space="preserve">on a specific date.  All invoices must contain a payment </w:t>
      </w:r>
      <w:r w:rsidRPr="001B4F3C">
        <w:rPr>
          <w:i/>
          <w:szCs w:val="24"/>
        </w:rPr>
        <w:t>due date</w:t>
      </w:r>
      <w:r w:rsidRPr="001B4F3C">
        <w:rPr>
          <w:szCs w:val="24"/>
        </w:rPr>
        <w:t xml:space="preserve"> in addition to the other metadata requested in the Costs section of the Form 399. </w:t>
      </w:r>
    </w:p>
    <w:p w14:paraId="3EB41307" w14:textId="77777777" w:rsidR="004C1E8F" w:rsidRPr="001B4F3C" w:rsidRDefault="004C1E8F" w:rsidP="004C1E8F">
      <w:pPr>
        <w:rPr>
          <w:szCs w:val="24"/>
        </w:rPr>
      </w:pPr>
    </w:p>
    <w:p w14:paraId="1D4AC418" w14:textId="77777777" w:rsidR="004C1E8F" w:rsidRPr="001B4F3C" w:rsidRDefault="004C1E8F" w:rsidP="004C1E8F">
      <w:pPr>
        <w:rPr>
          <w:szCs w:val="24"/>
        </w:rPr>
      </w:pPr>
      <w:r w:rsidRPr="001B4F3C">
        <w:rPr>
          <w:szCs w:val="24"/>
        </w:rPr>
        <w:t>Many reimbursable expenses will be billed and owed in installments.  Stations can submit invoices and other cost documentation as payment of each installment is requested by the vendor.  (</w:t>
      </w:r>
      <w:r w:rsidRPr="001B4F3C">
        <w:rPr>
          <w:b/>
          <w:szCs w:val="24"/>
        </w:rPr>
        <w:t xml:space="preserve">Note: </w:t>
      </w:r>
      <w:r w:rsidRPr="001B4F3C">
        <w:rPr>
          <w:szCs w:val="24"/>
        </w:rPr>
        <w:t>this scenario is illustrated in the “Documenting Actual Reimbursement Costs &amp; Uploading Invoices to Your Form 399” tutorial video.)  The Add Component page permits you to specify the portion of the invoice – by percentage or dollar amount – for which you are requesting reimbursement.  For example, if 10% of the total amount of the sales order is reflected on the invoice with a specific date due, the Form 399 allows you to request reimbursement for only the 10% that is due, and to return to the expense to add further cost documentation to the same line item when additional installments become due.  You can add subsequent invoices to the expense line item later.</w:t>
      </w:r>
    </w:p>
    <w:p w14:paraId="58518A4F" w14:textId="77777777" w:rsidR="004C1E8F" w:rsidRPr="001B4F3C" w:rsidRDefault="004C1E8F" w:rsidP="004C1E8F">
      <w:pPr>
        <w:rPr>
          <w:b/>
          <w:i/>
          <w:color w:val="2F5496"/>
          <w:szCs w:val="24"/>
        </w:rPr>
      </w:pPr>
      <w:bookmarkStart w:id="16" w:name="_Hlk19211382"/>
    </w:p>
    <w:p w14:paraId="4B33DE60" w14:textId="77777777" w:rsidR="004C1E8F" w:rsidRPr="001B4F3C" w:rsidRDefault="004C1E8F" w:rsidP="004C1E8F">
      <w:pPr>
        <w:rPr>
          <w:b/>
          <w:i/>
          <w:color w:val="2F5496"/>
          <w:szCs w:val="24"/>
        </w:rPr>
      </w:pPr>
      <w:r w:rsidRPr="001B4F3C">
        <w:rPr>
          <w:b/>
          <w:i/>
          <w:color w:val="2F5496"/>
          <w:szCs w:val="24"/>
        </w:rPr>
        <w:t>Do professional services need to be performed prior to being submitted for reimbursement?</w:t>
      </w:r>
    </w:p>
    <w:p w14:paraId="1FE6F560" w14:textId="47E617C8" w:rsidR="004C1E8F" w:rsidRDefault="004C1E8F" w:rsidP="004C1E8F">
      <w:pPr>
        <w:rPr>
          <w:szCs w:val="24"/>
        </w:rPr>
      </w:pPr>
      <w:r w:rsidRPr="001B4F3C">
        <w:rPr>
          <w:szCs w:val="24"/>
        </w:rPr>
        <w:lastRenderedPageBreak/>
        <w:t>Yes, all professional services, including legal, engineering, and project management services, must be performed before the associated costs can be submitted for reimbursement.  Professional services billed in advance or on retainer may not be submitted for reimbursement.</w:t>
      </w:r>
    </w:p>
    <w:p w14:paraId="612B2AF2" w14:textId="49E5F1D6" w:rsidR="008F6CDD" w:rsidRDefault="008F6CDD" w:rsidP="004C1E8F">
      <w:pPr>
        <w:rPr>
          <w:szCs w:val="24"/>
        </w:rPr>
      </w:pPr>
    </w:p>
    <w:p w14:paraId="71B2545F" w14:textId="77777777" w:rsidR="008F6CDD" w:rsidRDefault="008F6CDD" w:rsidP="008F6CDD">
      <w:pPr>
        <w:rPr>
          <w:rFonts w:eastAsia="Times New Roman" w:cs="Times New Roman"/>
          <w:szCs w:val="24"/>
        </w:rPr>
      </w:pPr>
      <w:r w:rsidRPr="10B4236B">
        <w:rPr>
          <w:rFonts w:eastAsia="Times New Roman" w:cs="Times New Roman"/>
          <w:b/>
          <w:bCs/>
          <w:i/>
          <w:iCs/>
          <w:color w:val="365F91"/>
          <w:szCs w:val="24"/>
        </w:rPr>
        <w:t>What if my station sells or monetizes the old equipment?</w:t>
      </w:r>
      <w:r w:rsidRPr="009C31D7">
        <w:rPr>
          <w:rStyle w:val="FootnoteReference"/>
          <w:rFonts w:eastAsia="Times New Roman" w:cs="Times New Roman"/>
          <w:b/>
          <w:bCs/>
          <w:color w:val="365F91"/>
          <w:szCs w:val="24"/>
        </w:rPr>
        <w:footnoteReference w:id="24"/>
      </w:r>
    </w:p>
    <w:p w14:paraId="615BA2E4" w14:textId="77777777" w:rsidR="008F6CDD" w:rsidRPr="007C72F3" w:rsidRDefault="008F6CDD" w:rsidP="008F6CDD">
      <w:pPr>
        <w:rPr>
          <w:rFonts w:eastAsia="Times New Roman" w:cs="Times New Roman"/>
          <w:b/>
          <w:bCs/>
          <w:szCs w:val="24"/>
        </w:rPr>
      </w:pPr>
      <w:r w:rsidRPr="007C72F3">
        <w:rPr>
          <w:rFonts w:eastAsia="Times New Roman" w:cs="Times New Roman"/>
          <w:szCs w:val="24"/>
        </w:rPr>
        <w:t>Stations are required to reuse old equipment where possible.  If a station receives an economic value for selling or scrapping its old equipment, it’s the responsibility of the station to remit those funds to the FCC as a reduction of eligible reimbursement.</w:t>
      </w:r>
    </w:p>
    <w:p w14:paraId="1384F1B4" w14:textId="1207F2F9" w:rsidR="008F6CDD" w:rsidRDefault="008F6CDD" w:rsidP="008F6CDD">
      <w:pPr>
        <w:rPr>
          <w:rFonts w:cs="Times New Roman"/>
          <w:szCs w:val="24"/>
        </w:rPr>
      </w:pPr>
    </w:p>
    <w:p w14:paraId="56010409" w14:textId="77777777" w:rsidR="00CA3671" w:rsidRDefault="00CA3671" w:rsidP="008F6CDD">
      <w:pPr>
        <w:rPr>
          <w:rFonts w:cs="Times New Roman"/>
          <w:szCs w:val="24"/>
        </w:rPr>
      </w:pPr>
    </w:p>
    <w:p w14:paraId="6E3936F1" w14:textId="77777777" w:rsidR="008F6CDD" w:rsidRDefault="008F6CDD" w:rsidP="008F6CDD">
      <w:r w:rsidRPr="00A90C18">
        <w:rPr>
          <w:rStyle w:val="Heading3Char"/>
        </w:rPr>
        <w:t>What do I do once the station has transitioned to its assigned post-auction channe</w:t>
      </w:r>
      <w:r>
        <w:rPr>
          <w:rStyle w:val="Heading3Char"/>
        </w:rPr>
        <w:t>l?</w:t>
      </w:r>
      <w:r w:rsidRPr="009C31D7">
        <w:rPr>
          <w:rStyle w:val="FootnoteReference"/>
          <w:rFonts w:eastAsia="Times New Roman" w:cs="Times New Roman"/>
          <w:b/>
          <w:bCs/>
          <w:color w:val="2F5496" w:themeColor="accent1" w:themeShade="BF"/>
          <w:szCs w:val="24"/>
        </w:rPr>
        <w:footnoteReference w:id="25"/>
      </w:r>
    </w:p>
    <w:p w14:paraId="23FDB05E" w14:textId="77777777" w:rsidR="008F6CDD" w:rsidRPr="00A90C18" w:rsidRDefault="008F6CDD" w:rsidP="008F6CDD">
      <w:pPr>
        <w:rPr>
          <w:rFonts w:eastAsia="Times New Roman" w:cs="Times New Roman"/>
        </w:rPr>
      </w:pPr>
      <w:r w:rsidRPr="00A90C18">
        <w:rPr>
          <w:rFonts w:eastAsia="Times New Roman" w:cs="Times New Roman"/>
          <w:sz w:val="22"/>
        </w:rPr>
        <w:t>You should</w:t>
      </w:r>
      <w:r w:rsidRPr="006012D3">
        <w:rPr>
          <w:rFonts w:eastAsia="Times New Roman" w:cs="Times New Roman"/>
          <w:sz w:val="22"/>
        </w:rPr>
        <w:t xml:space="preserve"> respond “Yes” to the </w:t>
      </w:r>
      <w:r>
        <w:rPr>
          <w:rFonts w:eastAsia="Times New Roman" w:cs="Times New Roman"/>
          <w:sz w:val="22"/>
        </w:rPr>
        <w:t xml:space="preserve">question </w:t>
      </w:r>
      <w:r w:rsidRPr="006012D3">
        <w:rPr>
          <w:rFonts w:eastAsia="Times New Roman" w:cs="Times New Roman"/>
          <w:sz w:val="22"/>
        </w:rPr>
        <w:t>“The facility has ceased operating on its pre-auction channel”</w:t>
      </w:r>
      <w:r w:rsidRPr="00A90C18">
        <w:rPr>
          <w:rFonts w:eastAsia="Times New Roman" w:cs="Times New Roman"/>
        </w:rPr>
        <w:t xml:space="preserve"> within the Reimbursement Status section of Form 399. </w:t>
      </w:r>
      <w:r>
        <w:rPr>
          <w:rFonts w:eastAsia="Times New Roman" w:cs="Times New Roman"/>
        </w:rPr>
        <w:t xml:space="preserve"> </w:t>
      </w:r>
      <w:r w:rsidRPr="00A90C18">
        <w:rPr>
          <w:rFonts w:eastAsia="Times New Roman" w:cs="Times New Roman"/>
        </w:rPr>
        <w:t>This should be marked “Yes” even if the station is currently operating on its post auction channel on interim facilities.</w:t>
      </w:r>
      <w:r w:rsidRPr="00A90C18">
        <w:rPr>
          <w:rFonts w:eastAsia="Times New Roman" w:cs="Times New Roman"/>
          <w:sz w:val="22"/>
        </w:rPr>
        <w:t xml:space="preserve"> </w:t>
      </w:r>
    </w:p>
    <w:p w14:paraId="5663C084" w14:textId="77777777" w:rsidR="008F6CDD" w:rsidRDefault="008F6CDD" w:rsidP="008F6CDD">
      <w:r w:rsidRPr="539AA48E">
        <w:rPr>
          <w:rFonts w:eastAsia="Times New Roman" w:cs="Times New Roman"/>
          <w:szCs w:val="24"/>
        </w:rPr>
        <w:t xml:space="preserve"> </w:t>
      </w:r>
    </w:p>
    <w:p w14:paraId="4BDD74E6" w14:textId="77777777" w:rsidR="008F6CDD" w:rsidRDefault="008F6CDD" w:rsidP="008F6CDD">
      <w:pPr>
        <w:rPr>
          <w:rFonts w:eastAsia="Times New Roman" w:cs="Times New Roman"/>
          <w:szCs w:val="24"/>
        </w:rPr>
      </w:pPr>
      <w:r w:rsidRPr="539AA48E">
        <w:rPr>
          <w:rFonts w:eastAsia="Times New Roman" w:cs="Times New Roman"/>
          <w:b/>
          <w:bCs/>
          <w:i/>
          <w:iCs/>
          <w:color w:val="365F91"/>
          <w:szCs w:val="24"/>
        </w:rPr>
        <w:t>What do I do once construction on my project is complete?</w:t>
      </w:r>
      <w:r w:rsidRPr="009C31D7">
        <w:rPr>
          <w:rStyle w:val="FootnoteReference"/>
          <w:rFonts w:eastAsia="Times New Roman" w:cs="Times New Roman"/>
          <w:b/>
          <w:bCs/>
          <w:color w:val="2F5496" w:themeColor="accent1" w:themeShade="BF"/>
          <w:szCs w:val="24"/>
        </w:rPr>
        <w:footnoteReference w:id="26"/>
      </w:r>
      <w:r>
        <w:br/>
      </w:r>
      <w:r w:rsidRPr="00A90C18">
        <w:t>You</w:t>
      </w:r>
      <w:r w:rsidRPr="00A90C18">
        <w:rPr>
          <w:rFonts w:eastAsia="Times New Roman" w:cs="Times New Roman"/>
          <w:sz w:val="22"/>
        </w:rPr>
        <w:t xml:space="preserve"> should </w:t>
      </w:r>
      <w:r w:rsidRPr="00A90C18">
        <w:rPr>
          <w:rFonts w:eastAsia="Times New Roman" w:cs="Times New Roman"/>
          <w:szCs w:val="24"/>
        </w:rPr>
        <w:t xml:space="preserve">respond “Yes” to the </w:t>
      </w:r>
      <w:r>
        <w:rPr>
          <w:rFonts w:eastAsia="Times New Roman" w:cs="Times New Roman"/>
          <w:szCs w:val="24"/>
        </w:rPr>
        <w:t xml:space="preserve">question </w:t>
      </w:r>
      <w:r w:rsidRPr="00A90C18">
        <w:rPr>
          <w:rFonts w:eastAsia="Times New Roman" w:cs="Times New Roman"/>
          <w:szCs w:val="24"/>
        </w:rPr>
        <w:t xml:space="preserve">“Construction of final facilities or all necessary modifications are complete” within the Reimbursement Status section of Form 399.  Indicating “Yes” alerts the Fund Administrator that you have completed construction. </w:t>
      </w:r>
      <w:r>
        <w:rPr>
          <w:rFonts w:eastAsia="Times New Roman" w:cs="Times New Roman"/>
          <w:szCs w:val="24"/>
        </w:rPr>
        <w:t xml:space="preserve"> </w:t>
      </w:r>
      <w:r w:rsidRPr="00A90C18">
        <w:rPr>
          <w:rFonts w:eastAsia="Times New Roman" w:cs="Times New Roman"/>
          <w:szCs w:val="24"/>
        </w:rPr>
        <w:t xml:space="preserve">Answering “Yes” to this question will not lock your account.  You will still be able to upload invoices and receive reimbursement.  </w:t>
      </w:r>
    </w:p>
    <w:p w14:paraId="09DA7972" w14:textId="77777777" w:rsidR="008F6CDD" w:rsidRDefault="008F6CDD" w:rsidP="008F6CDD">
      <w:pPr>
        <w:rPr>
          <w:rFonts w:eastAsiaTheme="minorEastAsia"/>
          <w:szCs w:val="24"/>
        </w:rPr>
      </w:pPr>
    </w:p>
    <w:p w14:paraId="1D71AE62" w14:textId="77777777" w:rsidR="008F6CDD" w:rsidRDefault="008F6CDD" w:rsidP="008F6CDD">
      <w:pPr>
        <w:rPr>
          <w:b/>
          <w:bCs/>
          <w:i/>
          <w:iCs/>
          <w:color w:val="2F5496" w:themeColor="accent1" w:themeShade="BF"/>
          <w:szCs w:val="24"/>
        </w:rPr>
      </w:pPr>
      <w:r w:rsidRPr="78908C14">
        <w:rPr>
          <w:b/>
          <w:bCs/>
          <w:i/>
          <w:iCs/>
          <w:color w:val="2F5496" w:themeColor="accent1" w:themeShade="BF"/>
          <w:szCs w:val="24"/>
        </w:rPr>
        <w:t xml:space="preserve">What do I do once </w:t>
      </w:r>
      <w:r>
        <w:rPr>
          <w:b/>
          <w:bCs/>
          <w:i/>
          <w:iCs/>
          <w:color w:val="2F5496" w:themeColor="accent1" w:themeShade="BF"/>
          <w:szCs w:val="24"/>
        </w:rPr>
        <w:t>I have uploaded all the invoices for my construction project and I am ready to close-out my reimbursement account</w:t>
      </w:r>
      <w:r w:rsidRPr="78908C14">
        <w:rPr>
          <w:b/>
          <w:bCs/>
          <w:i/>
          <w:iCs/>
          <w:color w:val="2F5496" w:themeColor="accent1" w:themeShade="BF"/>
          <w:szCs w:val="24"/>
        </w:rPr>
        <w:t>?</w:t>
      </w:r>
      <w:r w:rsidRPr="009C31D7">
        <w:rPr>
          <w:rStyle w:val="FootnoteReference"/>
          <w:b/>
          <w:bCs/>
          <w:color w:val="2F5496" w:themeColor="accent1" w:themeShade="BF"/>
          <w:szCs w:val="24"/>
        </w:rPr>
        <w:footnoteReference w:id="27"/>
      </w:r>
    </w:p>
    <w:p w14:paraId="2D3BA046" w14:textId="3C3EBEAC" w:rsidR="008F6CDD" w:rsidRPr="00A90C18" w:rsidRDefault="008F6CDD" w:rsidP="008F6CDD">
      <w:r w:rsidRPr="00A90C18">
        <w:rPr>
          <w:rFonts w:eastAsia="Times New Roman" w:cs="Times New Roman"/>
          <w:szCs w:val="24"/>
        </w:rPr>
        <w:t>Once you have submitted all invoices and are ready to close out your account, answer “Yes” to the</w:t>
      </w:r>
      <w:r>
        <w:rPr>
          <w:rFonts w:eastAsia="Times New Roman" w:cs="Times New Roman"/>
          <w:szCs w:val="24"/>
        </w:rPr>
        <w:t xml:space="preserve"> question</w:t>
      </w:r>
      <w:r w:rsidRPr="00A90C18">
        <w:rPr>
          <w:rFonts w:eastAsia="Times New Roman" w:cs="Times New Roman"/>
          <w:szCs w:val="24"/>
        </w:rPr>
        <w:t xml:space="preserve"> “All receipts for reimbursement have been submitted no further costs are expected to be incurred. Note this will lock the Form 399 from further editing and begin close-out procedures with the Fund Administrator” within the Reimbursement Status section of Form 399.  When you have answered “Yes” to </w:t>
      </w:r>
      <w:r>
        <w:rPr>
          <w:rFonts w:eastAsiaTheme="minorEastAsia"/>
          <w:szCs w:val="24"/>
        </w:rPr>
        <w:t>this question and the two previous questions described above</w:t>
      </w:r>
      <w:r w:rsidRPr="00A90C18">
        <w:rPr>
          <w:rFonts w:eastAsia="Times New Roman" w:cs="Times New Roman"/>
          <w:szCs w:val="24"/>
        </w:rPr>
        <w:t xml:space="preserve"> within the Reimbursement Section of Form 399, you will trigger the close-out procedures.  Close-out procedures start with a reconciliation of your account. </w:t>
      </w:r>
      <w:r w:rsidRPr="00A90C18">
        <w:rPr>
          <w:rFonts w:eastAsia="Times New Roman" w:cs="Times New Roman"/>
          <w:sz w:val="22"/>
        </w:rPr>
        <w:t xml:space="preserve"> </w:t>
      </w:r>
    </w:p>
    <w:p w14:paraId="63805985" w14:textId="77777777" w:rsidR="008F6CDD" w:rsidRDefault="008F6CDD" w:rsidP="008F6CDD">
      <w:r w:rsidRPr="539AA48E">
        <w:rPr>
          <w:rFonts w:eastAsia="Times New Roman" w:cs="Times New Roman"/>
          <w:sz w:val="22"/>
        </w:rPr>
        <w:t xml:space="preserve"> </w:t>
      </w:r>
    </w:p>
    <w:p w14:paraId="4DF73715" w14:textId="2F770D5F" w:rsidR="008F6CDD" w:rsidRPr="009C31D7" w:rsidRDefault="008F6CDD" w:rsidP="008F6CDD">
      <w:pPr>
        <w:rPr>
          <w:rFonts w:cs="Times New Roman"/>
          <w:szCs w:val="24"/>
        </w:rPr>
      </w:pPr>
      <w:r w:rsidRPr="009C31D7">
        <w:rPr>
          <w:rStyle w:val="Heading3Char"/>
          <w:rFonts w:cs="Times New Roman"/>
        </w:rPr>
        <w:t>What does the Close-Out stage entail?</w:t>
      </w:r>
      <w:r w:rsidRPr="009C31D7">
        <w:rPr>
          <w:rStyle w:val="FootnoteReference"/>
          <w:rFonts w:cs="Times New Roman"/>
          <w:b/>
          <w:bCs/>
          <w:color w:val="2F5496" w:themeColor="accent1" w:themeShade="BF"/>
          <w:szCs w:val="24"/>
        </w:rPr>
        <w:footnoteReference w:id="28"/>
      </w:r>
    </w:p>
    <w:p w14:paraId="0D1CE03F" w14:textId="77777777" w:rsidR="00FC78C0" w:rsidRPr="009C31D7" w:rsidRDefault="00FC78C0" w:rsidP="00FC78C0">
      <w:pPr>
        <w:rPr>
          <w:rFonts w:cs="Times New Roman"/>
          <w:szCs w:val="24"/>
        </w:rPr>
      </w:pPr>
      <w:bookmarkStart w:id="17" w:name="_Hlk38455700"/>
      <w:r w:rsidRPr="009C31D7">
        <w:rPr>
          <w:rFonts w:eastAsia="Times New Roman" w:cs="Times New Roman"/>
          <w:szCs w:val="24"/>
        </w:rPr>
        <w:t xml:space="preserve">Close-out is triggered when the station has answered “Yes” to all three questions </w:t>
      </w:r>
      <w:r>
        <w:rPr>
          <w:rFonts w:eastAsia="Times New Roman" w:cs="Times New Roman"/>
          <w:szCs w:val="24"/>
        </w:rPr>
        <w:t>discussed</w:t>
      </w:r>
      <w:r w:rsidRPr="009C31D7">
        <w:rPr>
          <w:rFonts w:eastAsia="Times New Roman" w:cs="Times New Roman"/>
          <w:szCs w:val="24"/>
        </w:rPr>
        <w:t xml:space="preserve"> in the three questions above within the Reimbursement Status of Form 399, indicating to the Fund Administrator that the project is complete and all invoices have been submitted.  The following steps will then occur: </w:t>
      </w:r>
    </w:p>
    <w:p w14:paraId="27D3936D" w14:textId="77777777" w:rsidR="00FC78C0" w:rsidRDefault="00FC78C0" w:rsidP="00FC78C0">
      <w:pPr>
        <w:pStyle w:val="ListParagraph"/>
        <w:numPr>
          <w:ilvl w:val="0"/>
          <w:numId w:val="19"/>
        </w:numPr>
        <w:spacing w:after="120"/>
        <w:rPr>
          <w:rFonts w:eastAsia="Times New Roman" w:cs="Times New Roman"/>
          <w:szCs w:val="24"/>
        </w:rPr>
      </w:pPr>
      <w:r>
        <w:rPr>
          <w:rFonts w:eastAsia="Times New Roman" w:cs="Times New Roman"/>
          <w:szCs w:val="24"/>
        </w:rPr>
        <w:t xml:space="preserve">The </w:t>
      </w:r>
      <w:r w:rsidRPr="00571507">
        <w:rPr>
          <w:rFonts w:eastAsia="Times New Roman" w:cs="Times New Roman"/>
          <w:szCs w:val="24"/>
        </w:rPr>
        <w:t xml:space="preserve">Reimbursement Form will be locked, and the station will not be able to submit additional supporting documentation via LMS; </w:t>
      </w:r>
    </w:p>
    <w:p w14:paraId="6B4C46EA" w14:textId="2A774AC9" w:rsidR="00FC78C0" w:rsidRPr="009C31D7" w:rsidRDefault="00FC78C0" w:rsidP="00FC78C0">
      <w:pPr>
        <w:pStyle w:val="ListParagraph"/>
        <w:numPr>
          <w:ilvl w:val="0"/>
          <w:numId w:val="17"/>
        </w:numPr>
        <w:spacing w:after="120"/>
        <w:rPr>
          <w:rFonts w:eastAsia="Times New Roman" w:cs="Times New Roman"/>
          <w:szCs w:val="24"/>
        </w:rPr>
      </w:pPr>
      <w:r w:rsidRPr="009C31D7">
        <w:rPr>
          <w:rFonts w:eastAsia="Times New Roman" w:cs="Times New Roman"/>
          <w:szCs w:val="24"/>
        </w:rPr>
        <w:lastRenderedPageBreak/>
        <w:t>The Fund Administrator will then process any pending invoices and produce a Financial Reconciliation Statement.  The Fund Administrator will send the Financial Reconciliation Statement to the station for review and concurrence</w:t>
      </w:r>
      <w:r w:rsidRPr="00FC78C0">
        <w:rPr>
          <w:szCs w:val="24"/>
        </w:rPr>
        <w:t xml:space="preserve"> </w:t>
      </w:r>
      <w:r>
        <w:rPr>
          <w:szCs w:val="24"/>
        </w:rPr>
        <w:t xml:space="preserve">via </w:t>
      </w:r>
      <w:hyperlink r:id="rId14" w:history="1">
        <w:r>
          <w:rPr>
            <w:rStyle w:val="Hyperlink"/>
            <w:rFonts w:eastAsia="Times New Roman"/>
            <w:szCs w:val="24"/>
          </w:rPr>
          <w:t>FCCFundadmin@fcc.gov</w:t>
        </w:r>
      </w:hyperlink>
      <w:r w:rsidRPr="009C31D7">
        <w:rPr>
          <w:rFonts w:eastAsia="Times New Roman" w:cs="Times New Roman"/>
          <w:szCs w:val="24"/>
        </w:rPr>
        <w:t xml:space="preserve">; </w:t>
      </w:r>
    </w:p>
    <w:p w14:paraId="68497252" w14:textId="7B45A5C4" w:rsidR="00FC78C0" w:rsidRPr="009C31D7" w:rsidRDefault="00FC78C0" w:rsidP="00FC78C0">
      <w:pPr>
        <w:pStyle w:val="ListParagraph"/>
        <w:numPr>
          <w:ilvl w:val="0"/>
          <w:numId w:val="17"/>
        </w:numPr>
        <w:spacing w:after="120"/>
        <w:rPr>
          <w:rFonts w:eastAsia="Times New Roman" w:cs="Times New Roman"/>
          <w:szCs w:val="24"/>
        </w:rPr>
      </w:pPr>
      <w:r w:rsidRPr="009C31D7">
        <w:rPr>
          <w:rFonts w:eastAsia="Times New Roman" w:cs="Times New Roman"/>
          <w:szCs w:val="24"/>
        </w:rPr>
        <w:t>The Fund Administrator will also</w:t>
      </w:r>
      <w:r>
        <w:rPr>
          <w:rFonts w:eastAsia="Times New Roman" w:cs="Times New Roman"/>
          <w:szCs w:val="24"/>
        </w:rPr>
        <w:t xml:space="preserve"> identify </w:t>
      </w:r>
      <w:r w:rsidRPr="009C31D7">
        <w:rPr>
          <w:rFonts w:eastAsia="Times New Roman" w:cs="Times New Roman"/>
          <w:szCs w:val="24"/>
        </w:rPr>
        <w:t xml:space="preserve">a sampling of </w:t>
      </w:r>
      <w:r>
        <w:rPr>
          <w:rFonts w:eastAsia="Times New Roman" w:cs="Times New Roman"/>
          <w:szCs w:val="24"/>
        </w:rPr>
        <w:t xml:space="preserve">invoices for which the station will need to provide </w:t>
      </w:r>
      <w:r w:rsidRPr="009C31D7">
        <w:rPr>
          <w:rFonts w:eastAsia="Times New Roman" w:cs="Times New Roman"/>
          <w:szCs w:val="24"/>
        </w:rPr>
        <w:t>proof of payment</w:t>
      </w:r>
      <w:r>
        <w:rPr>
          <w:rFonts w:eastAsia="Times New Roman" w:cs="Times New Roman"/>
          <w:szCs w:val="24"/>
        </w:rPr>
        <w:t xml:space="preserve"> (p</w:t>
      </w:r>
      <w:r w:rsidRPr="00A402CA">
        <w:rPr>
          <w:rFonts w:eastAsia="Times New Roman" w:cs="Times New Roman"/>
          <w:szCs w:val="24"/>
        </w:rPr>
        <w:t xml:space="preserve">roof of payment </w:t>
      </w:r>
      <w:r>
        <w:rPr>
          <w:rFonts w:eastAsia="Times New Roman" w:cs="Times New Roman"/>
          <w:szCs w:val="24"/>
        </w:rPr>
        <w:t xml:space="preserve">might consist of </w:t>
      </w:r>
      <w:r w:rsidRPr="00A402CA">
        <w:rPr>
          <w:rFonts w:eastAsia="Times New Roman" w:cs="Times New Roman"/>
          <w:szCs w:val="24"/>
        </w:rPr>
        <w:t>copies of cancelled checks, banking institution statements detailing the disbursement, wire or electronic fund transfer confirmations, credit card statements, or other relevant third-party evidence or banking information</w:t>
      </w:r>
      <w:r>
        <w:rPr>
          <w:rFonts w:eastAsia="Times New Roman" w:cs="Times New Roman"/>
          <w:szCs w:val="24"/>
        </w:rPr>
        <w:t>)</w:t>
      </w:r>
      <w:r w:rsidRPr="009C31D7">
        <w:rPr>
          <w:rFonts w:eastAsia="Times New Roman" w:cs="Times New Roman"/>
          <w:szCs w:val="24"/>
        </w:rPr>
        <w:t xml:space="preserve">; </w:t>
      </w:r>
    </w:p>
    <w:p w14:paraId="5A7206F3" w14:textId="028C11CE" w:rsidR="00FC78C0" w:rsidRDefault="00FC78C0" w:rsidP="00FC78C0">
      <w:pPr>
        <w:pStyle w:val="ListParagraph"/>
        <w:numPr>
          <w:ilvl w:val="0"/>
          <w:numId w:val="17"/>
        </w:numPr>
        <w:spacing w:after="120"/>
        <w:rPr>
          <w:rFonts w:eastAsia="Times New Roman" w:cs="Times New Roman"/>
          <w:szCs w:val="24"/>
        </w:rPr>
      </w:pPr>
      <w:r w:rsidRPr="009C31D7">
        <w:rPr>
          <w:rFonts w:eastAsia="Times New Roman" w:cs="Times New Roman"/>
          <w:szCs w:val="24"/>
        </w:rPr>
        <w:t>The Fund Administrator will send the station</w:t>
      </w:r>
      <w:r>
        <w:rPr>
          <w:rFonts w:eastAsia="Times New Roman" w:cs="Times New Roman"/>
          <w:szCs w:val="24"/>
        </w:rPr>
        <w:t xml:space="preserve"> </w:t>
      </w:r>
      <w:r w:rsidRPr="009C31D7">
        <w:rPr>
          <w:rFonts w:eastAsia="Times New Roman" w:cs="Times New Roman"/>
          <w:szCs w:val="24"/>
        </w:rPr>
        <w:t>a Close-out Packet including Close-out Letter</w:t>
      </w:r>
      <w:r>
        <w:rPr>
          <w:rFonts w:eastAsia="Times New Roman" w:cs="Times New Roman"/>
          <w:szCs w:val="24"/>
        </w:rPr>
        <w:t xml:space="preserve"> </w:t>
      </w:r>
      <w:r w:rsidRPr="009C31D7">
        <w:rPr>
          <w:rFonts w:eastAsia="Times New Roman" w:cs="Times New Roman"/>
          <w:szCs w:val="24"/>
        </w:rPr>
        <w:t>and</w:t>
      </w:r>
      <w:r>
        <w:rPr>
          <w:rFonts w:eastAsia="Times New Roman" w:cs="Times New Roman"/>
          <w:szCs w:val="24"/>
        </w:rPr>
        <w:t xml:space="preserve"> </w:t>
      </w:r>
      <w:r w:rsidRPr="009C31D7">
        <w:rPr>
          <w:rFonts w:eastAsia="Times New Roman" w:cs="Times New Roman"/>
          <w:szCs w:val="24"/>
        </w:rPr>
        <w:t>accepted</w:t>
      </w:r>
      <w:r>
        <w:rPr>
          <w:rFonts w:eastAsia="Times New Roman" w:cs="Times New Roman"/>
          <w:szCs w:val="24"/>
        </w:rPr>
        <w:t xml:space="preserve"> </w:t>
      </w:r>
      <w:r w:rsidRPr="009C31D7">
        <w:rPr>
          <w:rFonts w:eastAsia="Times New Roman" w:cs="Times New Roman"/>
          <w:szCs w:val="24"/>
        </w:rPr>
        <w:t xml:space="preserve">Financial Reconciliation Statement. </w:t>
      </w:r>
    </w:p>
    <w:p w14:paraId="3B70BB5F" w14:textId="27DF7DF3" w:rsidR="000E2F03" w:rsidRPr="000E2F03" w:rsidRDefault="000E2F03" w:rsidP="000E2F03">
      <w:pPr>
        <w:rPr>
          <w:b/>
          <w:i/>
          <w:color w:val="2F5496" w:themeColor="accent1" w:themeShade="BF"/>
          <w:szCs w:val="24"/>
        </w:rPr>
      </w:pPr>
      <w:bookmarkStart w:id="18" w:name="_Hlk38030401"/>
      <w:bookmarkEnd w:id="17"/>
      <w:r w:rsidRPr="000E2F03">
        <w:rPr>
          <w:b/>
          <w:i/>
          <w:color w:val="2F5496" w:themeColor="accent1" w:themeShade="BF"/>
          <w:szCs w:val="24"/>
        </w:rPr>
        <w:t>Can a station be reimbursed for costs incurred after entering the Close-Out Stage?</w:t>
      </w:r>
      <w:r>
        <w:rPr>
          <w:rStyle w:val="FootnoteReference"/>
          <w:b/>
          <w:i/>
          <w:color w:val="2F5496" w:themeColor="accent1" w:themeShade="BF"/>
          <w:szCs w:val="24"/>
        </w:rPr>
        <w:footnoteReference w:id="29"/>
      </w:r>
    </w:p>
    <w:p w14:paraId="7B06AD5D" w14:textId="5C9A8C07" w:rsidR="00FC78C0" w:rsidRPr="00FC78C0" w:rsidRDefault="00FC78C0" w:rsidP="00FC78C0">
      <w:pPr>
        <w:rPr>
          <w:rFonts w:cs="Times New Roman"/>
          <w:szCs w:val="24"/>
        </w:rPr>
      </w:pPr>
      <w:bookmarkStart w:id="19" w:name="_Hlk38455507"/>
      <w:bookmarkEnd w:id="18"/>
      <w:r w:rsidRPr="00FC78C0">
        <w:rPr>
          <w:rFonts w:cs="Times New Roman"/>
          <w:szCs w:val="24"/>
        </w:rPr>
        <w:t xml:space="preserve">Once stations have entered the Close-Out stage, additional requests for payment cannot be submitted as the Reimbursement Form will be locked.  However, stations may request a preliminary Financial Statement Reconciliation Statement by emailing </w:t>
      </w:r>
      <w:hyperlink r:id="rId15" w:history="1">
        <w:r w:rsidRPr="00FC78C0">
          <w:rPr>
            <w:rStyle w:val="Hyperlink"/>
            <w:szCs w:val="24"/>
          </w:rPr>
          <w:t>FCCFundAdmin@fcc.gov</w:t>
        </w:r>
      </w:hyperlink>
      <w:r w:rsidRPr="00FC78C0">
        <w:rPr>
          <w:rFonts w:cs="Times New Roman"/>
          <w:szCs w:val="24"/>
        </w:rPr>
        <w:t xml:space="preserve">, and submit any incurred expenses associated with the review of that preliminary statement.  This request must be executed prior to entering the Close-Out stage described above. </w:t>
      </w:r>
    </w:p>
    <w:p w14:paraId="4A35BB6D" w14:textId="77777777" w:rsidR="00FC78C0" w:rsidRPr="007965F2" w:rsidRDefault="00FC78C0" w:rsidP="00FC78C0">
      <w:pPr>
        <w:rPr>
          <w:rFonts w:cs="Times New Roman"/>
        </w:rPr>
      </w:pPr>
    </w:p>
    <w:p w14:paraId="0A641B25" w14:textId="7425F6BB" w:rsidR="00FC78C0" w:rsidRDefault="00FC78C0" w:rsidP="00FC78C0">
      <w:pPr>
        <w:rPr>
          <w:rFonts w:cs="Times New Roman"/>
        </w:rPr>
      </w:pPr>
      <w:r w:rsidRPr="007965F2">
        <w:rPr>
          <w:rFonts w:cs="Times New Roman"/>
        </w:rPr>
        <w:t xml:space="preserve">As described above, </w:t>
      </w:r>
      <w:r>
        <w:rPr>
          <w:rFonts w:cs="Times New Roman"/>
        </w:rPr>
        <w:t>as part of Close Out stations</w:t>
      </w:r>
      <w:r w:rsidRPr="007965F2">
        <w:rPr>
          <w:rFonts w:cs="Times New Roman"/>
        </w:rPr>
        <w:t xml:space="preserve"> will also need to provide proof of payment for a selection of reimbursed invoices.</w:t>
      </w:r>
      <w:r>
        <w:rPr>
          <w:rFonts w:cs="Times New Roman"/>
        </w:rPr>
        <w:t xml:space="preserve">  </w:t>
      </w:r>
      <w:r w:rsidRPr="007965F2">
        <w:rPr>
          <w:rFonts w:cs="Times New Roman"/>
        </w:rPr>
        <w:t xml:space="preserve">Assembling proof of payment documentation </w:t>
      </w:r>
      <w:r>
        <w:rPr>
          <w:rFonts w:cs="Times New Roman"/>
        </w:rPr>
        <w:t>will</w:t>
      </w:r>
      <w:r w:rsidRPr="007965F2">
        <w:rPr>
          <w:rFonts w:cs="Times New Roman"/>
        </w:rPr>
        <w:t xml:space="preserve"> not be reimbursed by the Fund; the station bears responsibility for all labor required for gathering proof of payment after the Close-Out stage is initiated.  </w:t>
      </w:r>
    </w:p>
    <w:p w14:paraId="30F2E2CF" w14:textId="77777777" w:rsidR="00FC78C0" w:rsidRDefault="00FC78C0" w:rsidP="00FC78C0">
      <w:pPr>
        <w:rPr>
          <w:rFonts w:cs="Times New Roman"/>
        </w:rPr>
      </w:pPr>
    </w:p>
    <w:p w14:paraId="157B74D6" w14:textId="6F776B40" w:rsidR="008F6CDD" w:rsidRDefault="00FC78C0" w:rsidP="004C1E8F">
      <w:pPr>
        <w:rPr>
          <w:rFonts w:cs="Times New Roman"/>
          <w:szCs w:val="24"/>
        </w:rPr>
      </w:pPr>
      <w:r>
        <w:rPr>
          <w:rFonts w:cs="Times New Roman"/>
        </w:rPr>
        <w:t>In</w:t>
      </w:r>
      <w:r w:rsidRPr="007965F2">
        <w:rPr>
          <w:rFonts w:cs="Times New Roman"/>
        </w:rPr>
        <w:t xml:space="preserve"> the case that a more thorough investigation of the station’s invoice submissions or reimbursements is required, the station’s Form 399 may be re-opened and additional billing</w:t>
      </w:r>
      <w:r w:rsidR="002D088B">
        <w:rPr>
          <w:rFonts w:cs="Times New Roman"/>
        </w:rPr>
        <w:t xml:space="preserve"> that occurred prior to the </w:t>
      </w:r>
      <w:r w:rsidR="0035007C">
        <w:rPr>
          <w:rFonts w:cs="Times New Roman"/>
        </w:rPr>
        <w:t>construction permit</w:t>
      </w:r>
      <w:r w:rsidR="002D088B">
        <w:rPr>
          <w:rFonts w:cs="Times New Roman"/>
        </w:rPr>
        <w:t xml:space="preserve"> deadline</w:t>
      </w:r>
      <w:r w:rsidRPr="007965F2">
        <w:rPr>
          <w:rFonts w:cs="Times New Roman"/>
        </w:rPr>
        <w:t xml:space="preserve"> may be allowed.</w:t>
      </w:r>
      <w:r>
        <w:rPr>
          <w:rFonts w:cs="Times New Roman"/>
        </w:rPr>
        <w:t xml:space="preserve"> </w:t>
      </w:r>
      <w:r>
        <w:rPr>
          <w:rFonts w:cs="Times New Roman"/>
          <w:szCs w:val="24"/>
        </w:rPr>
        <w:t>Stations have</w:t>
      </w:r>
      <w:r w:rsidRPr="00FC78C0">
        <w:rPr>
          <w:rFonts w:cs="Times New Roman"/>
          <w:szCs w:val="24"/>
        </w:rPr>
        <w:t xml:space="preserve"> an ongoing obligation to retain documentation supporting its requests for reimbursement for a period that extends 10 years after the date it receives its final payment from the Reimbursement Fund. </w:t>
      </w:r>
    </w:p>
    <w:p w14:paraId="486A59AB" w14:textId="284B26BB" w:rsidR="005056E2" w:rsidRDefault="005056E2" w:rsidP="004C1E8F">
      <w:pPr>
        <w:rPr>
          <w:szCs w:val="24"/>
        </w:rPr>
      </w:pPr>
    </w:p>
    <w:p w14:paraId="2365B9D0" w14:textId="0548CEFB" w:rsidR="00981329" w:rsidRDefault="00981329" w:rsidP="00981329">
      <w:pPr>
        <w:rPr>
          <w:b/>
          <w:bCs/>
          <w:i/>
          <w:iCs/>
          <w:szCs w:val="24"/>
        </w:rPr>
      </w:pPr>
      <w:r w:rsidRPr="00E00BBC">
        <w:rPr>
          <w:b/>
          <w:bCs/>
          <w:i/>
          <w:iCs/>
          <w:szCs w:val="24"/>
        </w:rPr>
        <w:t>In reviewing the Financial Reconciliation, what should I do if I determine an invoice is missing and/or was rejected?</w:t>
      </w:r>
      <w:r>
        <w:rPr>
          <w:rStyle w:val="FootnoteReference"/>
          <w:b/>
          <w:bCs/>
          <w:i/>
          <w:iCs/>
          <w:szCs w:val="24"/>
        </w:rPr>
        <w:footnoteReference w:id="30"/>
      </w:r>
      <w:r w:rsidRPr="00E00BBC">
        <w:rPr>
          <w:b/>
          <w:bCs/>
          <w:i/>
          <w:iCs/>
          <w:szCs w:val="24"/>
        </w:rPr>
        <w:t xml:space="preserve"> </w:t>
      </w:r>
    </w:p>
    <w:p w14:paraId="1096255A" w14:textId="77777777" w:rsidR="00981329" w:rsidRDefault="00981329" w:rsidP="00981329">
      <w:pPr>
        <w:rPr>
          <w:b/>
          <w:bCs/>
          <w:szCs w:val="24"/>
        </w:rPr>
      </w:pPr>
    </w:p>
    <w:p w14:paraId="6B23976E" w14:textId="06B33A4C" w:rsidR="00981329" w:rsidRDefault="00981329" w:rsidP="00981329">
      <w:pPr>
        <w:rPr>
          <w:szCs w:val="24"/>
        </w:rPr>
      </w:pPr>
      <w:r>
        <w:rPr>
          <w:szCs w:val="24"/>
        </w:rPr>
        <w:t xml:space="preserve">If the missing invoice is for work performed prior to your phase invoice submission deadline, and/or the station submitted an invoice that was rejected, the station can send a request to the </w:t>
      </w:r>
      <w:hyperlink r:id="rId16" w:history="1">
        <w:r w:rsidRPr="00040915">
          <w:rPr>
            <w:rStyle w:val="Hyperlink"/>
            <w:szCs w:val="24"/>
          </w:rPr>
          <w:t>fccfundadmin@fcc.gov</w:t>
        </w:r>
      </w:hyperlink>
      <w:r>
        <w:rPr>
          <w:szCs w:val="24"/>
        </w:rPr>
        <w:t xml:space="preserve"> mailbox for the station to be taken out of Close-out status. The station must provide the following information:</w:t>
      </w:r>
    </w:p>
    <w:p w14:paraId="4F753778" w14:textId="77777777" w:rsidR="00981329" w:rsidRDefault="00981329" w:rsidP="00981329">
      <w:pPr>
        <w:rPr>
          <w:szCs w:val="24"/>
        </w:rPr>
      </w:pPr>
    </w:p>
    <w:p w14:paraId="5EDDCEA2" w14:textId="77777777" w:rsidR="00981329" w:rsidRDefault="00981329" w:rsidP="00981329">
      <w:pPr>
        <w:pStyle w:val="ListParagraph"/>
        <w:numPr>
          <w:ilvl w:val="0"/>
          <w:numId w:val="22"/>
        </w:numPr>
        <w:contextualSpacing/>
        <w:rPr>
          <w:szCs w:val="24"/>
        </w:rPr>
      </w:pPr>
      <w:r>
        <w:rPr>
          <w:szCs w:val="24"/>
        </w:rPr>
        <w:t>If invoice is missing, provide the date of work performed and date of invoice</w:t>
      </w:r>
    </w:p>
    <w:p w14:paraId="7E4D0719" w14:textId="77777777" w:rsidR="00981329" w:rsidRDefault="00981329" w:rsidP="00981329">
      <w:pPr>
        <w:pStyle w:val="ListParagraph"/>
        <w:numPr>
          <w:ilvl w:val="0"/>
          <w:numId w:val="22"/>
        </w:numPr>
        <w:contextualSpacing/>
        <w:rPr>
          <w:szCs w:val="24"/>
        </w:rPr>
      </w:pPr>
      <w:r>
        <w:rPr>
          <w:szCs w:val="24"/>
        </w:rPr>
        <w:t>If an invoice was rejected, provide the invoice number in question</w:t>
      </w:r>
    </w:p>
    <w:p w14:paraId="6C1639A6" w14:textId="77777777" w:rsidR="00981329" w:rsidRDefault="00981329" w:rsidP="00981329">
      <w:pPr>
        <w:rPr>
          <w:szCs w:val="24"/>
        </w:rPr>
      </w:pPr>
    </w:p>
    <w:p w14:paraId="2BAE80FA" w14:textId="79A47740" w:rsidR="00981329" w:rsidRDefault="00981329" w:rsidP="00981329">
      <w:pPr>
        <w:rPr>
          <w:szCs w:val="24"/>
        </w:rPr>
      </w:pPr>
      <w:r w:rsidRPr="00E00BBC">
        <w:rPr>
          <w:szCs w:val="24"/>
        </w:rPr>
        <w:lastRenderedPageBreak/>
        <w:t xml:space="preserve">The Fund Administrator will review the request and provide confirmation of the status of the request. If the request is approved, the Fund Administrator will unlock the station. After the station is unlocked, you may then submit and/or correct the invoice. The Financial Reconciliation and Proof of Payment request that was originally submitted to the station for review will now be null and void. Once the invoice is submitted/fixed, the station should recertify the Form 399 and answer “Yes” to the 3 questions in the Reimbursement Status section to lock and re-enter Close-out. </w:t>
      </w:r>
    </w:p>
    <w:p w14:paraId="6096D168" w14:textId="77777777" w:rsidR="00981329" w:rsidRPr="00E00BBC" w:rsidRDefault="00981329" w:rsidP="00981329">
      <w:pPr>
        <w:rPr>
          <w:szCs w:val="24"/>
        </w:rPr>
      </w:pPr>
    </w:p>
    <w:p w14:paraId="14EC73C7" w14:textId="5816247F" w:rsidR="00981329" w:rsidRDefault="00981329" w:rsidP="00981329">
      <w:pPr>
        <w:rPr>
          <w:szCs w:val="24"/>
        </w:rPr>
      </w:pPr>
      <w:r w:rsidRPr="00E00BBC">
        <w:rPr>
          <w:szCs w:val="24"/>
        </w:rPr>
        <w:t>After recertifying and locking the station, notify the Fund Administrator via email that the station has re-entered Close-out. The station will receive an updated Financial Reconciliation and Proof of Payment request to review, sign, and submit to the Fund Administrator.</w:t>
      </w:r>
    </w:p>
    <w:p w14:paraId="6482FAC5" w14:textId="0FDB4138" w:rsidR="00AD3F40" w:rsidRDefault="00AD3F40" w:rsidP="00981329">
      <w:pPr>
        <w:rPr>
          <w:szCs w:val="24"/>
        </w:rPr>
      </w:pPr>
    </w:p>
    <w:p w14:paraId="65096675" w14:textId="2C13CD51" w:rsidR="00AD3F40" w:rsidRDefault="00AD3F40" w:rsidP="00AD3F40">
      <w:pPr>
        <w:rPr>
          <w:b/>
          <w:i/>
          <w:color w:val="2F5496"/>
          <w:szCs w:val="24"/>
        </w:rPr>
      </w:pPr>
      <w:r>
        <w:rPr>
          <w:b/>
          <w:i/>
          <w:color w:val="2F5496"/>
          <w:szCs w:val="24"/>
        </w:rPr>
        <w:t>In</w:t>
      </w:r>
      <w:r w:rsidRPr="00C738E1">
        <w:rPr>
          <w:b/>
          <w:i/>
          <w:color w:val="2F5496"/>
          <w:szCs w:val="24"/>
        </w:rPr>
        <w:t xml:space="preserve"> reviewing the Financial Reconciliation,</w:t>
      </w:r>
      <w:r>
        <w:rPr>
          <w:b/>
          <w:i/>
          <w:color w:val="2F5496"/>
          <w:szCs w:val="24"/>
        </w:rPr>
        <w:t xml:space="preserve"> what should I do if I determine funds are owed back to the Commission?</w:t>
      </w:r>
      <w:r>
        <w:rPr>
          <w:rStyle w:val="FootnoteReference"/>
          <w:b/>
          <w:i/>
          <w:color w:val="2F5496"/>
          <w:szCs w:val="24"/>
        </w:rPr>
        <w:footnoteReference w:id="31"/>
      </w:r>
      <w:r>
        <w:rPr>
          <w:b/>
          <w:i/>
          <w:color w:val="2F5496"/>
          <w:szCs w:val="24"/>
        </w:rPr>
        <w:t xml:space="preserve"> </w:t>
      </w:r>
    </w:p>
    <w:p w14:paraId="0EB8572C" w14:textId="77777777" w:rsidR="00AD3F40" w:rsidRDefault="00AD3F40" w:rsidP="00AD3F40">
      <w:pPr>
        <w:rPr>
          <w:b/>
          <w:i/>
          <w:color w:val="2F5496"/>
          <w:szCs w:val="24"/>
        </w:rPr>
      </w:pPr>
    </w:p>
    <w:p w14:paraId="34AC8D6B" w14:textId="50F4F60B" w:rsidR="00AD3F40" w:rsidRDefault="00AD3F40" w:rsidP="00AD3F40">
      <w:pPr>
        <w:rPr>
          <w:szCs w:val="24"/>
        </w:rPr>
      </w:pPr>
      <w:r>
        <w:rPr>
          <w:szCs w:val="24"/>
        </w:rPr>
        <w:t xml:space="preserve">After the funds owed to the Commission have been identified by the station, the station should email the </w:t>
      </w:r>
      <w:hyperlink r:id="rId17" w:history="1">
        <w:r w:rsidRPr="00287113">
          <w:rPr>
            <w:rStyle w:val="Hyperlink"/>
            <w:szCs w:val="24"/>
          </w:rPr>
          <w:t>fccfundadmin@fcc.gov</w:t>
        </w:r>
      </w:hyperlink>
      <w:r>
        <w:rPr>
          <w:szCs w:val="24"/>
        </w:rPr>
        <w:t xml:space="preserve"> mailbox with the following information:</w:t>
      </w:r>
    </w:p>
    <w:p w14:paraId="608FF3A3" w14:textId="77777777" w:rsidR="00AD3F40" w:rsidRDefault="00AD3F40" w:rsidP="00AD3F40">
      <w:pPr>
        <w:rPr>
          <w:szCs w:val="24"/>
        </w:rPr>
      </w:pPr>
    </w:p>
    <w:p w14:paraId="5AB9FF76" w14:textId="77777777" w:rsidR="00AD3F40" w:rsidRDefault="00AD3F40" w:rsidP="00AD3F40">
      <w:pPr>
        <w:pStyle w:val="ListParagraph"/>
        <w:numPr>
          <w:ilvl w:val="0"/>
          <w:numId w:val="23"/>
        </w:numPr>
        <w:suppressAutoHyphens w:val="0"/>
        <w:autoSpaceDN/>
        <w:spacing w:after="160" w:line="259" w:lineRule="auto"/>
        <w:contextualSpacing/>
        <w:textAlignment w:val="auto"/>
        <w:rPr>
          <w:szCs w:val="24"/>
        </w:rPr>
      </w:pPr>
      <w:r>
        <w:rPr>
          <w:szCs w:val="24"/>
        </w:rPr>
        <w:t xml:space="preserve">Identify the invoice that should not have been reimbursed </w:t>
      </w:r>
    </w:p>
    <w:p w14:paraId="2C8A378C" w14:textId="77777777" w:rsidR="00AD3F40" w:rsidRDefault="00AD3F40" w:rsidP="00AD3F40">
      <w:pPr>
        <w:pStyle w:val="ListParagraph"/>
        <w:numPr>
          <w:ilvl w:val="0"/>
          <w:numId w:val="23"/>
        </w:numPr>
        <w:suppressAutoHyphens w:val="0"/>
        <w:autoSpaceDN/>
        <w:spacing w:after="160" w:line="259" w:lineRule="auto"/>
        <w:contextualSpacing/>
        <w:textAlignment w:val="auto"/>
        <w:rPr>
          <w:szCs w:val="24"/>
        </w:rPr>
      </w:pPr>
      <w:r>
        <w:rPr>
          <w:szCs w:val="24"/>
        </w:rPr>
        <w:t xml:space="preserve">Provide an explanation as to why the funds are owed to the Commission (i.e., work was not performed, the vendor only did half the work, station received a discount from vendor, etc.)  </w:t>
      </w:r>
    </w:p>
    <w:p w14:paraId="4D81BBFE" w14:textId="77777777" w:rsidR="00AD3F40" w:rsidRDefault="00AD3F40" w:rsidP="00AD3F40">
      <w:pPr>
        <w:pStyle w:val="ListParagraph"/>
        <w:numPr>
          <w:ilvl w:val="0"/>
          <w:numId w:val="23"/>
        </w:numPr>
        <w:suppressAutoHyphens w:val="0"/>
        <w:autoSpaceDN/>
        <w:spacing w:after="160" w:line="259" w:lineRule="auto"/>
        <w:contextualSpacing/>
        <w:textAlignment w:val="auto"/>
        <w:rPr>
          <w:szCs w:val="24"/>
        </w:rPr>
      </w:pPr>
      <w:r>
        <w:rPr>
          <w:szCs w:val="24"/>
        </w:rPr>
        <w:t>Provide the signed Financial Reconciliation and support for the Proof of Payment request</w:t>
      </w:r>
    </w:p>
    <w:p w14:paraId="0515D9B7" w14:textId="3D6CEBC9" w:rsidR="00AD3F40" w:rsidRDefault="00AD3F40" w:rsidP="00AD3F40">
      <w:pPr>
        <w:rPr>
          <w:szCs w:val="24"/>
        </w:rPr>
      </w:pPr>
      <w:r>
        <w:rPr>
          <w:szCs w:val="24"/>
        </w:rPr>
        <w:t xml:space="preserve">The Fund Administrator will review the information and will provide a Credit Memo with instructions. The station will be unlocked to allow the POC to submit the Credit Memo in LMS. Once the invoice is submitted/fixed, the station should recertify the Form 399 and </w:t>
      </w:r>
      <w:r w:rsidRPr="00767A0E">
        <w:rPr>
          <w:szCs w:val="24"/>
        </w:rPr>
        <w:t xml:space="preserve">answer “Yes” to the 3 questions in the Reimbursement Status section to lock and re-enter </w:t>
      </w:r>
      <w:r>
        <w:rPr>
          <w:szCs w:val="24"/>
        </w:rPr>
        <w:t>C</w:t>
      </w:r>
      <w:r w:rsidRPr="00767A0E">
        <w:rPr>
          <w:szCs w:val="24"/>
        </w:rPr>
        <w:t xml:space="preserve">lose-out. </w:t>
      </w:r>
    </w:p>
    <w:p w14:paraId="169E54CA" w14:textId="77777777" w:rsidR="00AD3F40" w:rsidRDefault="00AD3F40" w:rsidP="00AD3F40">
      <w:pPr>
        <w:rPr>
          <w:szCs w:val="24"/>
        </w:rPr>
      </w:pPr>
    </w:p>
    <w:p w14:paraId="324DFE2C" w14:textId="0D82A6C9" w:rsidR="00AD3F40" w:rsidRDefault="00AD3F40" w:rsidP="00AD3F40">
      <w:pPr>
        <w:rPr>
          <w:szCs w:val="24"/>
        </w:rPr>
      </w:pPr>
      <w:r>
        <w:rPr>
          <w:szCs w:val="24"/>
        </w:rPr>
        <w:t>After recertifying and locking the station, notify the Fund Administrator via email that the station has re-entered Close-out. The station will receive an updated Financial Reconciliation with the Credit Memo displayed; review, sign, and submit the Financial Reconciliation to the Fund Administrator.</w:t>
      </w:r>
    </w:p>
    <w:p w14:paraId="68451614" w14:textId="77777777" w:rsidR="00AD3F40" w:rsidRDefault="00AD3F40" w:rsidP="00AD3F40">
      <w:pPr>
        <w:rPr>
          <w:szCs w:val="24"/>
        </w:rPr>
      </w:pPr>
    </w:p>
    <w:p w14:paraId="751CBCC4" w14:textId="3F0B5D0A" w:rsidR="00AD3F40" w:rsidRPr="00E00BBC" w:rsidRDefault="00AD3F40" w:rsidP="00AD3F40">
      <w:pPr>
        <w:suppressAutoHyphens w:val="0"/>
        <w:autoSpaceDN/>
        <w:spacing w:after="160" w:line="259" w:lineRule="auto"/>
        <w:textAlignment w:val="auto"/>
        <w:rPr>
          <w:rFonts w:eastAsiaTheme="minorHAnsi" w:cstheme="minorBidi"/>
          <w:szCs w:val="24"/>
        </w:rPr>
      </w:pPr>
      <w:r>
        <w:rPr>
          <w:szCs w:val="24"/>
        </w:rPr>
        <w:t xml:space="preserve">Once the updated Financial Reconciliation has been received by the Fund Administrator, an Accounts Receivable will be created for the station to pay the outstanding bill. </w:t>
      </w:r>
      <w:r w:rsidR="008C4890">
        <w:rPr>
          <w:szCs w:val="24"/>
        </w:rPr>
        <w:t xml:space="preserve">The </w:t>
      </w:r>
      <w:r>
        <w:rPr>
          <w:szCs w:val="24"/>
        </w:rPr>
        <w:t>Station</w:t>
      </w:r>
      <w:r w:rsidR="0091748E">
        <w:rPr>
          <w:szCs w:val="24"/>
        </w:rPr>
        <w:t>s</w:t>
      </w:r>
      <w:r>
        <w:rPr>
          <w:szCs w:val="24"/>
        </w:rPr>
        <w:t xml:space="preserve"> </w:t>
      </w:r>
      <w:r w:rsidR="008C4890">
        <w:rPr>
          <w:szCs w:val="24"/>
        </w:rPr>
        <w:t xml:space="preserve">will be given a payment deadline, </w:t>
      </w:r>
      <w:r>
        <w:rPr>
          <w:szCs w:val="24"/>
        </w:rPr>
        <w:t>30 days</w:t>
      </w:r>
      <w:r w:rsidR="0091748E">
        <w:rPr>
          <w:szCs w:val="24"/>
        </w:rPr>
        <w:t>, after which a late fee may be assessed.</w:t>
      </w:r>
      <w:r>
        <w:rPr>
          <w:szCs w:val="24"/>
        </w:rPr>
        <w:t xml:space="preserve"> After the bill is paid, the Fund Administrator will provide an updated Financial Reconciliation to the station displaying that the Credit Memo has been repaid; review, sign, and submit the Financial Reconciliation to the Fund Administrator.</w:t>
      </w:r>
    </w:p>
    <w:bookmarkEnd w:id="16"/>
    <w:bookmarkEnd w:id="19"/>
    <w:p w14:paraId="4367ED02" w14:textId="77777777" w:rsidR="00B87928" w:rsidRDefault="00BE2323" w:rsidP="00A90C18">
      <w:pPr>
        <w:pStyle w:val="Heading1"/>
      </w:pPr>
      <w:r>
        <w:lastRenderedPageBreak/>
        <w:fldChar w:fldCharType="begin"/>
      </w:r>
      <w:r>
        <w:instrText xml:space="preserve"> HYPERLINK \l "_Toc506216356" </w:instrText>
      </w:r>
      <w:r>
        <w:fldChar w:fldCharType="separate"/>
      </w:r>
      <w:bookmarkStart w:id="20" w:name="_Toc38456183"/>
      <w:r w:rsidR="00FD0262" w:rsidRPr="0F388FE7">
        <w:rPr>
          <w:rStyle w:val="Heading1Char"/>
          <w:rFonts w:ascii="Times New Roman" w:hAnsi="Times New Roman"/>
          <w:bCs/>
          <w:color w:val="auto"/>
          <w:sz w:val="28"/>
          <w:szCs w:val="28"/>
        </w:rPr>
        <w:t>Navigating LMS and Form 399, Troubleshooting, and Invoice Issues</w:t>
      </w:r>
      <w:bookmarkEnd w:id="20"/>
      <w:r>
        <w:rPr>
          <w:rStyle w:val="Heading1Char"/>
          <w:rFonts w:ascii="Times New Roman" w:hAnsi="Times New Roman"/>
          <w:bCs/>
          <w:color w:val="auto"/>
          <w:sz w:val="28"/>
          <w:szCs w:val="28"/>
        </w:rPr>
        <w:fldChar w:fldCharType="end"/>
      </w:r>
    </w:p>
    <w:p w14:paraId="775BF203" w14:textId="64463082" w:rsidR="5EE0DFAA" w:rsidRDefault="5EE0DFAA" w:rsidP="0F388FE7">
      <w:pPr>
        <w:spacing w:before="240" w:after="120"/>
        <w:rPr>
          <w:rFonts w:eastAsia="Times New Roman" w:cs="Times New Roman"/>
          <w:b/>
          <w:bCs/>
          <w:i/>
          <w:iCs/>
          <w:color w:val="1F497D"/>
          <w:szCs w:val="24"/>
        </w:rPr>
      </w:pPr>
      <w:r w:rsidRPr="0F388FE7">
        <w:rPr>
          <w:rFonts w:eastAsia="Times New Roman" w:cs="Times New Roman"/>
          <w:b/>
          <w:bCs/>
          <w:i/>
          <w:iCs/>
          <w:color w:val="365F91"/>
          <w:szCs w:val="24"/>
        </w:rPr>
        <w:t>How do I access a previously submitted Form 399?</w:t>
      </w:r>
      <w:r w:rsidR="006651C1">
        <w:rPr>
          <w:rStyle w:val="FootnoteReference"/>
          <w:rFonts w:eastAsia="Times New Roman" w:cs="Times New Roman"/>
          <w:b/>
          <w:bCs/>
          <w:i/>
          <w:iCs/>
          <w:color w:val="365F91"/>
          <w:szCs w:val="24"/>
        </w:rPr>
        <w:footnoteReference w:id="32"/>
      </w:r>
    </w:p>
    <w:p w14:paraId="7441137A" w14:textId="01D723EC" w:rsidR="5EE0DFAA" w:rsidRPr="000967DE" w:rsidRDefault="5EE0DFAA" w:rsidP="000967DE">
      <w:pPr>
        <w:pStyle w:val="ListParagraph"/>
        <w:numPr>
          <w:ilvl w:val="0"/>
          <w:numId w:val="17"/>
        </w:numPr>
        <w:spacing w:after="160"/>
        <w:rPr>
          <w:rFonts w:eastAsia="Times New Roman" w:cs="Times New Roman"/>
          <w:szCs w:val="24"/>
        </w:rPr>
      </w:pPr>
      <w:r w:rsidRPr="000967DE">
        <w:rPr>
          <w:rFonts w:eastAsia="Times New Roman" w:cs="Times New Roman"/>
          <w:szCs w:val="24"/>
        </w:rPr>
        <w:t>Via the</w:t>
      </w:r>
      <w:r w:rsidRPr="000967DE">
        <w:rPr>
          <w:rFonts w:eastAsia="Times New Roman" w:cs="Times New Roman"/>
          <w:i/>
          <w:iCs/>
          <w:szCs w:val="24"/>
        </w:rPr>
        <w:t xml:space="preserve"> </w:t>
      </w:r>
      <w:r w:rsidRPr="000967DE">
        <w:rPr>
          <w:rFonts w:eastAsia="Times New Roman" w:cs="Times New Roman"/>
          <w:szCs w:val="24"/>
        </w:rPr>
        <w:t>“Submitted” Applications Tab in LMS:</w:t>
      </w:r>
      <w:r w:rsidRPr="000967DE">
        <w:rPr>
          <w:rFonts w:eastAsia="Times New Roman" w:cs="Times New Roman"/>
          <w:i/>
          <w:iCs/>
          <w:szCs w:val="24"/>
        </w:rPr>
        <w:t xml:space="preserve"> </w:t>
      </w:r>
      <w:r w:rsidRPr="000967DE">
        <w:rPr>
          <w:rFonts w:eastAsia="Times New Roman" w:cs="Times New Roman"/>
          <w:szCs w:val="24"/>
        </w:rPr>
        <w:t>To access a submitted Form 399, either for the first time since the estimates stage or after having previously submitted a batch of invoices, simply log in to LMS and click the “Submitted” tab.  Next, click on the file number associated with the Form 399 for which you will be documenting expenses. On the next screen, click on the blue “File an Application” button.  From the drop-down menu click “Continue to your 399.” You will then be taken to your previously submitted Form 399 and can make edits and attach cost documentation.</w:t>
      </w:r>
    </w:p>
    <w:p w14:paraId="336ABD5B" w14:textId="47583271" w:rsidR="5EE0DFAA" w:rsidRPr="000967DE" w:rsidRDefault="5EE0DFAA" w:rsidP="000967DE">
      <w:pPr>
        <w:pStyle w:val="ListParagraph"/>
        <w:numPr>
          <w:ilvl w:val="0"/>
          <w:numId w:val="17"/>
        </w:numPr>
        <w:spacing w:after="160"/>
        <w:rPr>
          <w:rFonts w:eastAsia="Times New Roman" w:cs="Times New Roman"/>
          <w:szCs w:val="24"/>
        </w:rPr>
      </w:pPr>
      <w:r w:rsidRPr="000967DE">
        <w:rPr>
          <w:rFonts w:eastAsia="Times New Roman" w:cs="Times New Roman"/>
          <w:szCs w:val="24"/>
        </w:rPr>
        <w:t>Via the</w:t>
      </w:r>
      <w:r w:rsidRPr="000967DE">
        <w:rPr>
          <w:rFonts w:eastAsia="Times New Roman" w:cs="Times New Roman"/>
          <w:i/>
          <w:iCs/>
          <w:szCs w:val="24"/>
        </w:rPr>
        <w:t xml:space="preserve"> </w:t>
      </w:r>
      <w:r w:rsidRPr="000967DE">
        <w:rPr>
          <w:rFonts w:eastAsia="Times New Roman" w:cs="Times New Roman"/>
          <w:szCs w:val="24"/>
        </w:rPr>
        <w:t>“Saved” Applications Tab in LMS</w:t>
      </w:r>
      <w:r w:rsidRPr="000967DE">
        <w:rPr>
          <w:rFonts w:eastAsia="Times New Roman" w:cs="Times New Roman"/>
          <w:i/>
          <w:iCs/>
          <w:szCs w:val="24"/>
        </w:rPr>
        <w:t xml:space="preserve">:  </w:t>
      </w:r>
      <w:r w:rsidRPr="000967DE">
        <w:rPr>
          <w:rFonts w:eastAsia="Times New Roman" w:cs="Times New Roman"/>
          <w:szCs w:val="24"/>
        </w:rPr>
        <w:t xml:space="preserve">If you have already accessed, but not submitted, Form 399, it will be listed under the “Saved” applications tab in LMS.  Click on the “Saved” application tab.  After clicking on the Form 399’s file number, you will be taken directly to it.  </w:t>
      </w:r>
    </w:p>
    <w:p w14:paraId="28D94FB0" w14:textId="63EF4799" w:rsidR="5EE0DFAA" w:rsidRPr="000967DE" w:rsidRDefault="5EE0DFAA" w:rsidP="000967DE">
      <w:pPr>
        <w:rPr>
          <w:rFonts w:eastAsia="Times New Roman" w:cs="Times New Roman"/>
          <w:szCs w:val="24"/>
        </w:rPr>
      </w:pPr>
      <w:r w:rsidRPr="000967DE">
        <w:rPr>
          <w:rFonts w:eastAsia="Times New Roman" w:cs="Times New Roman"/>
          <w:szCs w:val="24"/>
        </w:rPr>
        <w:t xml:space="preserve">Make sure you confirm the application you are working with corresponds to the correct Facility ID.  If not, simply select the correct Facility ID from the dropdown menu.  For troubleshooting, please call the reimbursement line at (202) 418-2009 or e-mail the Reimbursement Team at </w:t>
      </w:r>
      <w:hyperlink r:id="rId18" w:history="1">
        <w:r w:rsidRPr="000967DE">
          <w:rPr>
            <w:rStyle w:val="Hyperlink"/>
            <w:rFonts w:eastAsia="Times New Roman" w:cs="Times New Roman"/>
            <w:szCs w:val="24"/>
          </w:rPr>
          <w:t>reimburse@fcc.gov</w:t>
        </w:r>
      </w:hyperlink>
      <w:r w:rsidRPr="000967DE">
        <w:rPr>
          <w:rFonts w:eastAsia="Times New Roman" w:cs="Times New Roman"/>
          <w:szCs w:val="24"/>
        </w:rPr>
        <w:t>.</w:t>
      </w:r>
    </w:p>
    <w:p w14:paraId="22D91B9F" w14:textId="7E055E40" w:rsidR="00594D29" w:rsidRDefault="00594D29" w:rsidP="003C6ED5">
      <w:pPr>
        <w:rPr>
          <w:rFonts w:eastAsia="Times New Roman" w:cs="Times New Roman"/>
          <w:b/>
          <w:bCs/>
          <w:i/>
          <w:iCs/>
          <w:color w:val="365F91"/>
          <w:szCs w:val="24"/>
        </w:rPr>
      </w:pPr>
    </w:p>
    <w:p w14:paraId="1A5F07AD" w14:textId="78BD66C3" w:rsidR="5EE0DFAA" w:rsidRDefault="5EE0DFAA" w:rsidP="006012D3">
      <w:pPr>
        <w:rPr>
          <w:rFonts w:eastAsia="Times New Roman" w:cs="Times New Roman"/>
          <w:b/>
          <w:bCs/>
          <w:i/>
          <w:iCs/>
          <w:color w:val="1F497D"/>
          <w:szCs w:val="24"/>
        </w:rPr>
      </w:pPr>
      <w:r w:rsidRPr="0F388FE7">
        <w:rPr>
          <w:rFonts w:eastAsia="Times New Roman" w:cs="Times New Roman"/>
          <w:b/>
          <w:bCs/>
          <w:i/>
          <w:iCs/>
          <w:color w:val="365F91"/>
          <w:szCs w:val="24"/>
        </w:rPr>
        <w:t>Why am I receiving a red error message in the Cost Section when I hit the “Save and Continue” button to navigate to the next page of the Cost Section?</w:t>
      </w:r>
      <w:r w:rsidR="003561DE">
        <w:rPr>
          <w:rStyle w:val="FootnoteReference"/>
          <w:rFonts w:eastAsia="Times New Roman" w:cs="Times New Roman"/>
          <w:b/>
          <w:bCs/>
          <w:i/>
          <w:iCs/>
          <w:color w:val="365F91"/>
          <w:szCs w:val="24"/>
        </w:rPr>
        <w:footnoteReference w:id="33"/>
      </w:r>
    </w:p>
    <w:p w14:paraId="44D50D88" w14:textId="016711D3" w:rsidR="5EE0DFAA" w:rsidRPr="000967DE" w:rsidRDefault="5EE0DFAA" w:rsidP="000967DE">
      <w:pPr>
        <w:rPr>
          <w:rFonts w:eastAsia="Times New Roman" w:cs="Times New Roman"/>
          <w:szCs w:val="24"/>
        </w:rPr>
      </w:pPr>
      <w:r w:rsidRPr="000967DE">
        <w:rPr>
          <w:rFonts w:eastAsia="Times New Roman" w:cs="Times New Roman"/>
          <w:szCs w:val="24"/>
        </w:rPr>
        <w:t>The red error message itself will generally tell you exactly what information needs to be corrected.  The most common error message indicates you cannot advance to the next cost section because certain “estimates are missing.”  To resolve this problem, make sure every entry under the “Estimates” column in the Cost Section has a numeric value entered (and does not still say “Add”).  You can enter the “Predetermined Cost Estimate” value, an individual cost estimate, or you can enter “$0.00” in that field (and revise it later with a specific value) to continue.  After you confirm no entry says “Add,” you will be able to proceed to the next equipment category in the Cost Section page by clicking the “Save and Continue” button.</w:t>
      </w:r>
    </w:p>
    <w:p w14:paraId="279AE990" w14:textId="77777777" w:rsidR="00434C51" w:rsidRDefault="00434C51" w:rsidP="006012D3">
      <w:pPr>
        <w:spacing w:line="259" w:lineRule="auto"/>
        <w:rPr>
          <w:rFonts w:eastAsia="Times New Roman" w:cs="Times New Roman"/>
        </w:rPr>
      </w:pPr>
    </w:p>
    <w:p w14:paraId="66A9E23B" w14:textId="151C3AFB" w:rsidR="5EE0DFAA" w:rsidRDefault="5EE0DFAA" w:rsidP="006012D3">
      <w:pPr>
        <w:rPr>
          <w:rFonts w:eastAsia="Times New Roman" w:cs="Times New Roman"/>
          <w:b/>
          <w:bCs/>
          <w:i/>
          <w:iCs/>
          <w:color w:val="1F497D"/>
          <w:szCs w:val="24"/>
        </w:rPr>
      </w:pPr>
      <w:r w:rsidRPr="0F388FE7">
        <w:rPr>
          <w:rFonts w:eastAsia="Times New Roman" w:cs="Times New Roman"/>
          <w:b/>
          <w:bCs/>
          <w:i/>
          <w:iCs/>
          <w:color w:val="365F91"/>
          <w:szCs w:val="24"/>
        </w:rPr>
        <w:t>Why am I receiving a red error message in the Add Component Section saying that I have entered an “Invalid Value?</w:t>
      </w:r>
      <w:r w:rsidR="003561DE">
        <w:rPr>
          <w:rStyle w:val="FootnoteReference"/>
          <w:rFonts w:eastAsia="Times New Roman" w:cs="Times New Roman"/>
          <w:b/>
          <w:bCs/>
          <w:i/>
          <w:iCs/>
          <w:color w:val="365F91"/>
          <w:szCs w:val="24"/>
        </w:rPr>
        <w:footnoteReference w:id="34"/>
      </w:r>
    </w:p>
    <w:p w14:paraId="06E8EA9A" w14:textId="22B8D2D7" w:rsidR="5EE0DFAA" w:rsidRPr="000967DE" w:rsidRDefault="5EE0DFAA" w:rsidP="0F388FE7">
      <w:pPr>
        <w:spacing w:after="160" w:line="259" w:lineRule="auto"/>
        <w:rPr>
          <w:rFonts w:eastAsia="Times New Roman" w:cs="Times New Roman"/>
          <w:szCs w:val="24"/>
        </w:rPr>
      </w:pPr>
      <w:r w:rsidRPr="000967DE">
        <w:rPr>
          <w:rFonts w:eastAsia="Times New Roman" w:cs="Times New Roman"/>
          <w:szCs w:val="24"/>
        </w:rPr>
        <w:t>The “Invalid Value Entered” error message indicates punctuation or symbols such as the ampersand (&amp;) have been entered in the “Vendor Name” field.  Spell out the symbol (</w:t>
      </w:r>
      <w:r w:rsidRPr="000967DE">
        <w:rPr>
          <w:rFonts w:eastAsia="Times New Roman" w:cs="Times New Roman"/>
          <w:i/>
          <w:iCs/>
          <w:szCs w:val="24"/>
        </w:rPr>
        <w:t xml:space="preserve">e.g., </w:t>
      </w:r>
      <w:r w:rsidRPr="000967DE">
        <w:rPr>
          <w:rFonts w:eastAsia="Times New Roman" w:cs="Times New Roman"/>
          <w:szCs w:val="24"/>
        </w:rPr>
        <w:t xml:space="preserve">“&amp;” as “and”) instead of using a symbol or remove all of the punctuation.  For troubleshooting, please call the Reimbursement Team for assistance at (202) 418-2009 or e-mail </w:t>
      </w:r>
      <w:hyperlink r:id="rId19" w:history="1">
        <w:r w:rsidRPr="000967DE">
          <w:rPr>
            <w:rStyle w:val="Hyperlink"/>
            <w:rFonts w:eastAsia="Times New Roman" w:cs="Times New Roman"/>
            <w:szCs w:val="24"/>
          </w:rPr>
          <w:t>reimburse@fcc.gov</w:t>
        </w:r>
      </w:hyperlink>
      <w:r w:rsidRPr="000967DE">
        <w:rPr>
          <w:rFonts w:eastAsia="Times New Roman" w:cs="Times New Roman"/>
          <w:szCs w:val="24"/>
        </w:rPr>
        <w:t>.</w:t>
      </w:r>
    </w:p>
    <w:p w14:paraId="4CD39C06" w14:textId="22AE3CC6" w:rsidR="5EE0DFAA" w:rsidRDefault="5EE0DFAA" w:rsidP="006012D3">
      <w:pPr>
        <w:rPr>
          <w:rFonts w:eastAsia="Times New Roman" w:cs="Times New Roman"/>
          <w:b/>
          <w:bCs/>
          <w:i/>
          <w:iCs/>
          <w:color w:val="1F497D"/>
          <w:szCs w:val="24"/>
        </w:rPr>
      </w:pPr>
      <w:r w:rsidRPr="0F388FE7">
        <w:rPr>
          <w:rFonts w:eastAsia="Times New Roman" w:cs="Times New Roman"/>
          <w:b/>
          <w:bCs/>
          <w:i/>
          <w:iCs/>
          <w:color w:val="365F91"/>
          <w:szCs w:val="24"/>
        </w:rPr>
        <w:t>Can I verify my Form 399 was properly submitted?</w:t>
      </w:r>
      <w:r w:rsidR="00323C9C" w:rsidRPr="009C31D7">
        <w:rPr>
          <w:rStyle w:val="FootnoteReference"/>
          <w:rFonts w:eastAsia="Times New Roman" w:cs="Times New Roman"/>
          <w:b/>
          <w:bCs/>
          <w:color w:val="365F91"/>
          <w:szCs w:val="24"/>
        </w:rPr>
        <w:footnoteReference w:id="35"/>
      </w:r>
    </w:p>
    <w:p w14:paraId="59794687" w14:textId="2C61E481" w:rsidR="5EE0DFAA" w:rsidRDefault="5EE0DFAA" w:rsidP="007C72F3">
      <w:pPr>
        <w:rPr>
          <w:szCs w:val="24"/>
        </w:rPr>
      </w:pPr>
      <w:r w:rsidRPr="007C72F3">
        <w:rPr>
          <w:rFonts w:eastAsia="Times New Roman" w:cs="Times New Roman"/>
          <w:szCs w:val="24"/>
        </w:rPr>
        <w:lastRenderedPageBreak/>
        <w:t xml:space="preserve">To ensure you have properly submitted and certified your Form 399 search for the application filing in the public LMS system, which is available here: </w:t>
      </w:r>
      <w:hyperlink r:id="rId20" w:history="1">
        <w:r w:rsidRPr="007C72F3">
          <w:rPr>
            <w:rStyle w:val="Hyperlink"/>
            <w:rFonts w:eastAsia="Times New Roman" w:cs="Times New Roman"/>
            <w:szCs w:val="24"/>
          </w:rPr>
          <w:t>https://enterpriseefiling.fcc.gov/dataentry/public/tv/publicAppSearch.html</w:t>
        </w:r>
      </w:hyperlink>
    </w:p>
    <w:p w14:paraId="4287E435" w14:textId="77777777" w:rsidR="007C72F3" w:rsidRPr="007C72F3" w:rsidRDefault="007C72F3" w:rsidP="007C72F3">
      <w:pPr>
        <w:rPr>
          <w:rFonts w:eastAsia="Times New Roman" w:cs="Times New Roman"/>
          <w:szCs w:val="24"/>
        </w:rPr>
      </w:pPr>
    </w:p>
    <w:p w14:paraId="710AB729" w14:textId="7AD0D279" w:rsidR="5EE0DFAA" w:rsidRPr="007C72F3" w:rsidRDefault="5EE0DFAA" w:rsidP="0F388FE7">
      <w:pPr>
        <w:spacing w:after="160" w:line="259" w:lineRule="auto"/>
        <w:rPr>
          <w:rFonts w:eastAsia="Times New Roman" w:cs="Times New Roman"/>
          <w:szCs w:val="24"/>
        </w:rPr>
      </w:pPr>
      <w:r w:rsidRPr="007C72F3">
        <w:rPr>
          <w:rFonts w:eastAsia="Times New Roman" w:cs="Times New Roman"/>
          <w:szCs w:val="24"/>
        </w:rPr>
        <w:t>From the Application Search page, indicate the purpose of the application you are searching for (</w:t>
      </w:r>
      <w:r w:rsidRPr="007C72F3">
        <w:rPr>
          <w:rFonts w:eastAsia="Times New Roman" w:cs="Times New Roman"/>
          <w:i/>
          <w:iCs/>
          <w:szCs w:val="24"/>
        </w:rPr>
        <w:t>e.g.,</w:t>
      </w:r>
      <w:r w:rsidRPr="007C72F3">
        <w:rPr>
          <w:rFonts w:eastAsia="Times New Roman" w:cs="Times New Roman"/>
          <w:szCs w:val="24"/>
        </w:rPr>
        <w:t xml:space="preserve"> “FORM 399”) and search for your submitted Form 399 by Facility ID, Call Sign, or Date Range, among other</w:t>
      </w:r>
      <w:r w:rsidR="00777120">
        <w:rPr>
          <w:rFonts w:eastAsia="Times New Roman" w:cs="Times New Roman"/>
          <w:szCs w:val="24"/>
        </w:rPr>
        <w:t xml:space="preserve"> category field</w:t>
      </w:r>
      <w:r w:rsidRPr="007C72F3">
        <w:rPr>
          <w:rFonts w:eastAsia="Times New Roman" w:cs="Times New Roman"/>
          <w:szCs w:val="24"/>
        </w:rPr>
        <w:t>s.  See screenshot below.</w:t>
      </w:r>
    </w:p>
    <w:p w14:paraId="1B8058ED" w14:textId="6EBC3BC0" w:rsidR="5EE0DFAA" w:rsidRDefault="1D5570AA" w:rsidP="0F388FE7">
      <w:pPr>
        <w:spacing w:beforeAutospacing="1" w:after="160" w:afterAutospacing="1" w:line="259" w:lineRule="auto"/>
        <w:rPr>
          <w:rFonts w:eastAsia="Times New Roman" w:cs="Times New Roman"/>
        </w:rPr>
      </w:pPr>
      <w:r>
        <w:rPr>
          <w:noProof/>
        </w:rPr>
        <w:drawing>
          <wp:inline distT="0" distB="0" distL="0" distR="0" wp14:anchorId="169DB771" wp14:editId="527C816F">
            <wp:extent cx="5943600" cy="4029075"/>
            <wp:effectExtent l="0" t="0" r="0" b="0"/>
            <wp:docPr id="1236594098" name="Picture 31927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274553"/>
                    <pic:cNvPicPr/>
                  </pic:nvPicPr>
                  <pic:blipFill>
                    <a:blip r:embed="rId21">
                      <a:extLst>
                        <a:ext uri="{28A0092B-C50C-407E-A947-70E740481C1C}">
                          <a14:useLocalDpi xmlns:a14="http://schemas.microsoft.com/office/drawing/2010/main" val="0"/>
                        </a:ext>
                      </a:extLst>
                    </a:blip>
                    <a:stretch>
                      <a:fillRect/>
                    </a:stretch>
                  </pic:blipFill>
                  <pic:spPr>
                    <a:xfrm>
                      <a:off x="0" y="0"/>
                      <a:ext cx="5943600" cy="4029075"/>
                    </a:xfrm>
                    <a:prstGeom prst="rect">
                      <a:avLst/>
                    </a:prstGeom>
                  </pic:spPr>
                </pic:pic>
              </a:graphicData>
            </a:graphic>
          </wp:inline>
        </w:drawing>
      </w:r>
    </w:p>
    <w:p w14:paraId="35DE4175" w14:textId="2F9E65BC" w:rsidR="0F388FE7" w:rsidRDefault="0F388FE7" w:rsidP="0F388FE7">
      <w:pPr>
        <w:spacing w:before="240"/>
        <w:rPr>
          <w:rStyle w:val="Heading2Char"/>
          <w:rFonts w:ascii="Times New Roman" w:hAnsi="Times New Roman"/>
          <w:b/>
          <w:bCs/>
          <w:i/>
          <w:iCs/>
          <w:sz w:val="24"/>
          <w:szCs w:val="24"/>
        </w:rPr>
      </w:pPr>
    </w:p>
    <w:p w14:paraId="43C4A60A" w14:textId="21A8F429" w:rsidR="00B87928" w:rsidRPr="001B4F3C" w:rsidRDefault="00FD0262">
      <w:pPr>
        <w:spacing w:before="240"/>
        <w:rPr>
          <w:szCs w:val="24"/>
        </w:rPr>
      </w:pPr>
      <w:bookmarkStart w:id="21" w:name="_Toc498957485"/>
      <w:bookmarkEnd w:id="21"/>
      <w:r w:rsidRPr="001B4F3C">
        <w:rPr>
          <w:rStyle w:val="Heading2Char"/>
          <w:rFonts w:ascii="Times New Roman" w:hAnsi="Times New Roman"/>
          <w:b/>
          <w:i/>
          <w:sz w:val="24"/>
          <w:szCs w:val="24"/>
        </w:rPr>
        <w:t xml:space="preserve">Can I add all of my invoices as one attachment and refer to the same attachment for every cost component? </w:t>
      </w:r>
    </w:p>
    <w:p w14:paraId="4C94E4E8" w14:textId="77777777" w:rsidR="00B87928" w:rsidRPr="001B4F3C" w:rsidRDefault="00FD0262">
      <w:pPr>
        <w:spacing w:after="120"/>
        <w:rPr>
          <w:szCs w:val="24"/>
        </w:rPr>
      </w:pPr>
      <w:r w:rsidRPr="001B4F3C">
        <w:rPr>
          <w:rFonts w:cs="Times New Roman"/>
          <w:szCs w:val="24"/>
        </w:rPr>
        <w:t>No.  While an invoice may contain several discrete line items, or cost components, for various reimbursable expenses billed by a vendor, each invoice attached to a particular cost component must pertain to that cost component.</w:t>
      </w:r>
    </w:p>
    <w:p w14:paraId="243E30D6" w14:textId="69AB8E47" w:rsidR="00B87928" w:rsidRPr="001B4F3C" w:rsidRDefault="00FD0262">
      <w:pPr>
        <w:pStyle w:val="Heading2"/>
        <w:spacing w:before="240"/>
        <w:rPr>
          <w:sz w:val="24"/>
          <w:szCs w:val="24"/>
        </w:rPr>
      </w:pPr>
      <w:r w:rsidRPr="001B4F3C">
        <w:rPr>
          <w:rStyle w:val="Heading2Char"/>
          <w:rFonts w:ascii="Times New Roman" w:hAnsi="Times New Roman"/>
          <w:b/>
          <w:i/>
          <w:sz w:val="24"/>
          <w:szCs w:val="24"/>
        </w:rPr>
        <w:t xml:space="preserve">Can I use the same invoice across multiple cost categories? </w:t>
      </w:r>
    </w:p>
    <w:p w14:paraId="24BBAD5C" w14:textId="77777777" w:rsidR="00B87928" w:rsidRDefault="00FD0262" w:rsidP="006012D3">
      <w:pPr>
        <w:rPr>
          <w:rFonts w:cs="Times New Roman"/>
          <w:szCs w:val="24"/>
        </w:rPr>
      </w:pPr>
      <w:r w:rsidRPr="001B4F3C">
        <w:rPr>
          <w:rFonts w:cs="Times New Roman"/>
          <w:szCs w:val="24"/>
        </w:rPr>
        <w:t xml:space="preserve">Yes.  You can use the same invoice for line items across multiple cost categories.  To do this, add the invoice to the cost component and note what percentage or dollar amount of the invoice applies to that discrete cost component on the “Add Component” page pertaining to the expense.  For each additional cost component listed on the same invoice, select the invoice that you </w:t>
      </w:r>
      <w:r w:rsidRPr="001B4F3C">
        <w:rPr>
          <w:rFonts w:cs="Times New Roman"/>
          <w:szCs w:val="24"/>
        </w:rPr>
        <w:lastRenderedPageBreak/>
        <w:t>previously uploaded from the dropdown list in the “Add Component” screen and indicate what percentage or dollar amount of the invoice is represented by that cost component. </w:t>
      </w:r>
    </w:p>
    <w:p w14:paraId="434A3609" w14:textId="77777777" w:rsidR="00434C51" w:rsidRPr="001B4F3C" w:rsidRDefault="00434C51" w:rsidP="006012D3">
      <w:pPr>
        <w:rPr>
          <w:rFonts w:cs="Times New Roman"/>
          <w:szCs w:val="24"/>
        </w:rPr>
      </w:pPr>
    </w:p>
    <w:p w14:paraId="5344B173" w14:textId="757E1B46" w:rsidR="00B87928" w:rsidRPr="001B4F3C" w:rsidRDefault="00FD0262" w:rsidP="006012D3">
      <w:pPr>
        <w:pStyle w:val="Heading2"/>
        <w:spacing w:before="0"/>
        <w:rPr>
          <w:sz w:val="24"/>
          <w:szCs w:val="24"/>
        </w:rPr>
      </w:pPr>
      <w:bookmarkStart w:id="22" w:name="_Hlk499826699"/>
      <w:bookmarkStart w:id="23" w:name="_Hlk34048849"/>
      <w:bookmarkEnd w:id="22"/>
      <w:r w:rsidRPr="001B4F3C">
        <w:rPr>
          <w:rStyle w:val="Heading2Char"/>
          <w:rFonts w:ascii="Times New Roman" w:hAnsi="Times New Roman"/>
          <w:b/>
          <w:i/>
          <w:sz w:val="24"/>
          <w:szCs w:val="24"/>
        </w:rPr>
        <w:t xml:space="preserve">What should I put in the “Vendor EIN” field if my invoice or receipt does not have an EIN or TIN number associated with it, and I can’t easily obtain one for the vendor? </w:t>
      </w:r>
    </w:p>
    <w:p w14:paraId="29C5C4E2" w14:textId="77777777" w:rsidR="00B87928" w:rsidRPr="001B4F3C" w:rsidRDefault="00FD0262">
      <w:pPr>
        <w:spacing w:after="120"/>
        <w:rPr>
          <w:rFonts w:cs="Times New Roman"/>
          <w:szCs w:val="24"/>
        </w:rPr>
      </w:pPr>
      <w:r w:rsidRPr="001B4F3C">
        <w:rPr>
          <w:rFonts w:cs="Times New Roman"/>
          <w:szCs w:val="24"/>
        </w:rPr>
        <w:t xml:space="preserve">If possible, obtain a vendor’s EIN or TIN number to expedite the invoice review process.  If the invoice or receipt does not identify the vendor’s EIN or TIN number and you cannot obtain the EIN or TIN number from the vendor (e.g., the materials were purchased at a retail store), you may use your station’s EIN/TIN number. </w:t>
      </w:r>
    </w:p>
    <w:bookmarkEnd w:id="23"/>
    <w:p w14:paraId="36A20AD0" w14:textId="6A3CC1EA" w:rsidR="00B87928" w:rsidRPr="001B4F3C" w:rsidRDefault="00FD0262">
      <w:pPr>
        <w:spacing w:before="240"/>
        <w:rPr>
          <w:szCs w:val="24"/>
        </w:rPr>
      </w:pPr>
      <w:r w:rsidRPr="001B4F3C">
        <w:rPr>
          <w:rStyle w:val="Heading2Char"/>
          <w:rFonts w:ascii="Times New Roman" w:hAnsi="Times New Roman"/>
          <w:b/>
          <w:i/>
          <w:sz w:val="24"/>
          <w:szCs w:val="24"/>
        </w:rPr>
        <w:t>Under what circumstances should I provide the dollar amount of the invoice for which I am requesting reimbursement rather than the percentage, and vice versa, on the “Add Component” page within the Cost Section?</w:t>
      </w:r>
    </w:p>
    <w:p w14:paraId="7DE29F01" w14:textId="59ECADDB" w:rsidR="00B87928" w:rsidRDefault="00FD0262" w:rsidP="006012D3">
      <w:pPr>
        <w:rPr>
          <w:rFonts w:cs="Times New Roman"/>
          <w:szCs w:val="24"/>
        </w:rPr>
      </w:pPr>
      <w:r w:rsidRPr="10B4236B">
        <w:rPr>
          <w:rFonts w:cs="Times New Roman"/>
          <w:szCs w:val="24"/>
        </w:rPr>
        <w:t>This feature exists to facilitate your identification of the reimbursement amount you are requesting</w:t>
      </w:r>
      <w:r w:rsidR="001D0B2A">
        <w:rPr>
          <w:rFonts w:cs="Times New Roman"/>
          <w:szCs w:val="24"/>
        </w:rPr>
        <w:t>;</w:t>
      </w:r>
      <w:r w:rsidRPr="10B4236B">
        <w:rPr>
          <w:rFonts w:cs="Times New Roman"/>
          <w:szCs w:val="24"/>
        </w:rPr>
        <w:t xml:space="preserve"> the manner of presenting the amount is up to you.  This feature may be useful when submitting invoices containing multiple line items or when specifying the reimbursable cost on an invoice for upgraded equipment. </w:t>
      </w:r>
    </w:p>
    <w:p w14:paraId="786E5872" w14:textId="77777777" w:rsidR="00434C51" w:rsidRPr="001B4F3C" w:rsidRDefault="00434C51" w:rsidP="006012D3">
      <w:pPr>
        <w:rPr>
          <w:rFonts w:cs="Times New Roman"/>
          <w:szCs w:val="24"/>
        </w:rPr>
      </w:pPr>
    </w:p>
    <w:p w14:paraId="4A826AC8" w14:textId="6D17148C" w:rsidR="1CC187C6" w:rsidRDefault="1CC187C6" w:rsidP="006012D3">
      <w:pPr>
        <w:spacing w:line="259" w:lineRule="auto"/>
        <w:rPr>
          <w:rFonts w:eastAsia="Times New Roman" w:cs="Times New Roman"/>
          <w:szCs w:val="24"/>
        </w:rPr>
      </w:pPr>
      <w:r w:rsidRPr="10B4236B">
        <w:rPr>
          <w:rFonts w:eastAsia="Times New Roman" w:cs="Times New Roman"/>
          <w:b/>
          <w:bCs/>
          <w:i/>
          <w:iCs/>
          <w:color w:val="365F91"/>
          <w:szCs w:val="24"/>
        </w:rPr>
        <w:t>My saved Form 399 is incorrect and/or inconsistent with what I previously submitted—what happened, and how do I fix it?</w:t>
      </w:r>
      <w:r w:rsidR="00DF6A93" w:rsidRPr="009C31D7">
        <w:rPr>
          <w:rStyle w:val="FootnoteReference"/>
          <w:rFonts w:eastAsia="Times New Roman" w:cs="Times New Roman"/>
          <w:b/>
          <w:bCs/>
          <w:color w:val="365F91"/>
          <w:szCs w:val="24"/>
        </w:rPr>
        <w:footnoteReference w:id="36"/>
      </w:r>
    </w:p>
    <w:p w14:paraId="2990F43F" w14:textId="4E395EB9" w:rsidR="1CC187C6" w:rsidRPr="007C72F3" w:rsidRDefault="1CC187C6" w:rsidP="007C72F3">
      <w:pPr>
        <w:rPr>
          <w:rFonts w:eastAsia="Times New Roman" w:cs="Times New Roman"/>
          <w:szCs w:val="24"/>
        </w:rPr>
      </w:pPr>
      <w:r w:rsidRPr="007C72F3">
        <w:rPr>
          <w:rFonts w:eastAsia="Times New Roman" w:cs="Times New Roman"/>
          <w:szCs w:val="24"/>
        </w:rPr>
        <w:t>If your saved Form 399 (accessed via the “Saved” Applications tab in LMS) is inaccurate and you would like to continue</w:t>
      </w:r>
      <w:r w:rsidR="001D0B2A">
        <w:rPr>
          <w:rFonts w:eastAsia="Times New Roman" w:cs="Times New Roman"/>
          <w:szCs w:val="24"/>
        </w:rPr>
        <w:t xml:space="preserve"> with</w:t>
      </w:r>
      <w:r w:rsidRPr="007C72F3">
        <w:rPr>
          <w:rFonts w:eastAsia="Times New Roman" w:cs="Times New Roman"/>
          <w:szCs w:val="24"/>
        </w:rPr>
        <w:t xml:space="preserve"> your last submitted Form 399, delete the Form 399 located under the “Saved” tab in LMS, and then access the Submitted Form 399 to start anew.  Deleting the saved Form 399 is a necessary predicate to accessing the previously submitted Form 399.  Before doing so, make sure your submitted Form 399 has the accurate information.  For troubleshooting, please call the Reimbursement Team for assistance at (202) 418-2009 or e-mail </w:t>
      </w:r>
      <w:hyperlink r:id="rId22" w:history="1">
        <w:r w:rsidRPr="007C72F3">
          <w:rPr>
            <w:rStyle w:val="Hyperlink"/>
            <w:rFonts w:eastAsia="Times New Roman" w:cs="Times New Roman"/>
            <w:szCs w:val="24"/>
          </w:rPr>
          <w:t>reimburse@fcc.gov</w:t>
        </w:r>
      </w:hyperlink>
      <w:r w:rsidRPr="007C72F3">
        <w:rPr>
          <w:rFonts w:eastAsia="Times New Roman" w:cs="Times New Roman"/>
          <w:szCs w:val="24"/>
        </w:rPr>
        <w:t>.</w:t>
      </w:r>
    </w:p>
    <w:p w14:paraId="5DCCAA42" w14:textId="77777777" w:rsidR="00434C51" w:rsidRDefault="00434C51" w:rsidP="006012D3">
      <w:pPr>
        <w:spacing w:line="259" w:lineRule="auto"/>
        <w:rPr>
          <w:rFonts w:eastAsia="Times New Roman" w:cs="Times New Roman"/>
        </w:rPr>
      </w:pPr>
    </w:p>
    <w:p w14:paraId="4F50D9B0" w14:textId="297C4069" w:rsidR="1CC187C6" w:rsidRDefault="1CC187C6" w:rsidP="006012D3">
      <w:pPr>
        <w:rPr>
          <w:rFonts w:eastAsia="Times New Roman" w:cs="Times New Roman"/>
          <w:b/>
          <w:bCs/>
          <w:i/>
          <w:iCs/>
          <w:color w:val="1F497D"/>
          <w:szCs w:val="24"/>
        </w:rPr>
      </w:pPr>
      <w:r w:rsidRPr="10B4236B">
        <w:rPr>
          <w:rFonts w:eastAsia="Times New Roman" w:cs="Times New Roman"/>
          <w:b/>
          <w:bCs/>
          <w:i/>
          <w:iCs/>
          <w:color w:val="365F91"/>
          <w:szCs w:val="24"/>
        </w:rPr>
        <w:t>Why</w:t>
      </w:r>
      <w:r w:rsidRPr="10B4236B">
        <w:rPr>
          <w:rFonts w:eastAsia="Times New Roman" w:cs="Times New Roman"/>
          <w:b/>
          <w:bCs/>
          <w:color w:val="365F91"/>
          <w:szCs w:val="24"/>
        </w:rPr>
        <w:t xml:space="preserve"> </w:t>
      </w:r>
      <w:r w:rsidRPr="10B4236B">
        <w:rPr>
          <w:rFonts w:eastAsia="Times New Roman" w:cs="Times New Roman"/>
          <w:b/>
          <w:bCs/>
          <w:i/>
          <w:iCs/>
          <w:color w:val="365F91"/>
          <w:szCs w:val="24"/>
        </w:rPr>
        <w:t>didn’t I receive the correspondence I expected regarding my reimbursement submission?</w:t>
      </w:r>
      <w:r w:rsidR="00DF6A93" w:rsidRPr="009C31D7">
        <w:rPr>
          <w:rStyle w:val="FootnoteReference"/>
          <w:rFonts w:eastAsia="Times New Roman" w:cs="Times New Roman"/>
          <w:b/>
          <w:bCs/>
          <w:color w:val="365F91"/>
          <w:szCs w:val="24"/>
        </w:rPr>
        <w:footnoteReference w:id="37"/>
      </w:r>
    </w:p>
    <w:p w14:paraId="7D15ED8E" w14:textId="3FD097F7" w:rsidR="1CC187C6" w:rsidRDefault="1CC187C6" w:rsidP="007C72F3">
      <w:pPr>
        <w:rPr>
          <w:rFonts w:eastAsia="Times New Roman" w:cs="Times New Roman"/>
          <w:szCs w:val="24"/>
        </w:rPr>
      </w:pPr>
      <w:r w:rsidRPr="007C72F3">
        <w:rPr>
          <w:rFonts w:eastAsia="Times New Roman" w:cs="Times New Roman"/>
          <w:szCs w:val="24"/>
        </w:rPr>
        <w:t xml:space="preserve">To ensure you receive all correspondence relating to your entity’s reimbursement, be sure your “Reimbursement Contact” information in the Form 399 is accurate and up-to-date.  </w:t>
      </w:r>
    </w:p>
    <w:p w14:paraId="4062B3C6" w14:textId="77777777" w:rsidR="007C72F3" w:rsidRPr="007C72F3" w:rsidRDefault="007C72F3" w:rsidP="007C72F3">
      <w:pPr>
        <w:rPr>
          <w:rFonts w:eastAsia="Times New Roman" w:cs="Times New Roman"/>
          <w:szCs w:val="24"/>
        </w:rPr>
      </w:pPr>
    </w:p>
    <w:p w14:paraId="57B9D97A" w14:textId="7FC80B4B" w:rsidR="1CC187C6" w:rsidRPr="007C72F3" w:rsidRDefault="1CC187C6" w:rsidP="007C72F3">
      <w:pPr>
        <w:rPr>
          <w:rFonts w:eastAsia="Times New Roman" w:cs="Times New Roman"/>
          <w:szCs w:val="24"/>
        </w:rPr>
      </w:pPr>
      <w:r w:rsidRPr="007C72F3">
        <w:rPr>
          <w:rFonts w:eastAsia="Times New Roman" w:cs="Times New Roman"/>
          <w:szCs w:val="24"/>
        </w:rPr>
        <w:t>If you are still missing correspondence, check your spam, junk, and/or clutter folders to see if an e-mail was mistakenly diverted.  If it was, you’ll want to add the sender to your “Safe Sender” list.  Please consult your IT consultant for further assistance with this process.</w:t>
      </w:r>
    </w:p>
    <w:p w14:paraId="19618B9D" w14:textId="7CE2055C" w:rsidR="1CC187C6" w:rsidRPr="007C72F3" w:rsidRDefault="1CC187C6" w:rsidP="006012D3">
      <w:pPr>
        <w:spacing w:line="259" w:lineRule="auto"/>
        <w:rPr>
          <w:rFonts w:eastAsia="Times New Roman" w:cs="Times New Roman"/>
          <w:szCs w:val="24"/>
        </w:rPr>
      </w:pPr>
      <w:r w:rsidRPr="007C72F3">
        <w:rPr>
          <w:rFonts w:eastAsia="Times New Roman" w:cs="Times New Roman"/>
          <w:szCs w:val="24"/>
        </w:rPr>
        <w:t xml:space="preserve">If you believe you should have received reimbursement correspondence, but have not, you can check with the Reimbursement Team by calling the reimbursement line at (202) 418-2009 or e-mailing </w:t>
      </w:r>
      <w:hyperlink r:id="rId23" w:history="1">
        <w:r w:rsidRPr="007C72F3">
          <w:rPr>
            <w:rStyle w:val="Hyperlink"/>
            <w:rFonts w:eastAsia="Times New Roman" w:cs="Times New Roman"/>
            <w:szCs w:val="24"/>
          </w:rPr>
          <w:t>reimburse@fcc.gov</w:t>
        </w:r>
      </w:hyperlink>
      <w:r w:rsidRPr="007C72F3">
        <w:rPr>
          <w:rFonts w:eastAsia="Times New Roman" w:cs="Times New Roman"/>
          <w:szCs w:val="24"/>
        </w:rPr>
        <w:t>.</w:t>
      </w:r>
    </w:p>
    <w:p w14:paraId="35109FEB" w14:textId="77777777" w:rsidR="00434C51" w:rsidRDefault="00434C51" w:rsidP="006012D3">
      <w:pPr>
        <w:spacing w:line="259" w:lineRule="auto"/>
        <w:rPr>
          <w:rFonts w:eastAsia="Times New Roman" w:cs="Times New Roman"/>
        </w:rPr>
      </w:pPr>
    </w:p>
    <w:p w14:paraId="1AE3A831" w14:textId="0E63A281" w:rsidR="1CC187C6" w:rsidRDefault="1CC187C6" w:rsidP="006012D3">
      <w:pPr>
        <w:rPr>
          <w:rFonts w:eastAsia="Times New Roman" w:cs="Times New Roman"/>
          <w:szCs w:val="24"/>
        </w:rPr>
      </w:pPr>
      <w:r w:rsidRPr="10B4236B">
        <w:rPr>
          <w:rFonts w:eastAsia="Times New Roman" w:cs="Times New Roman"/>
          <w:b/>
          <w:bCs/>
          <w:i/>
          <w:iCs/>
          <w:color w:val="365F91"/>
          <w:szCs w:val="24"/>
        </w:rPr>
        <w:lastRenderedPageBreak/>
        <w:t>How can I avoid potentially disclosing attorney-client privileged information when submitting invoices for eligible legal expenses for reimbursement?</w:t>
      </w:r>
      <w:r w:rsidR="00DF6A93" w:rsidRPr="009C31D7">
        <w:rPr>
          <w:rStyle w:val="FootnoteReference"/>
          <w:rFonts w:eastAsia="Times New Roman" w:cs="Times New Roman"/>
          <w:b/>
          <w:bCs/>
          <w:color w:val="365F91"/>
          <w:szCs w:val="24"/>
        </w:rPr>
        <w:footnoteReference w:id="38"/>
      </w:r>
    </w:p>
    <w:p w14:paraId="41E88EC4" w14:textId="2370D5CB" w:rsidR="1CC187C6" w:rsidRPr="007C72F3" w:rsidRDefault="1CC187C6" w:rsidP="10B4236B">
      <w:pPr>
        <w:rPr>
          <w:rFonts w:eastAsia="Times New Roman" w:cs="Times New Roman"/>
          <w:szCs w:val="24"/>
        </w:rPr>
      </w:pPr>
      <w:r w:rsidRPr="007C72F3">
        <w:rPr>
          <w:rFonts w:eastAsia="Times New Roman" w:cs="Times New Roman"/>
          <w:szCs w:val="24"/>
        </w:rPr>
        <w:t>If an invoice for legal expenses contains attorney-client privileged information, you may redact the privileged information contained in billing narratives before submitting the invoice for reimbursement.  Please provide an explanation that the redacted material consists of attorney-client privileged information.  If a redaction renders the billing narrative insufficient for the Commission to evaluate the reasonableness of the charge, please also include a description of the work performed.  If reviewers from the Fund Administrator or the FCC have any questions, they will contact your reimbursement contact for further information.</w:t>
      </w:r>
    </w:p>
    <w:p w14:paraId="42565E9F" w14:textId="18A78464" w:rsidR="10B4236B" w:rsidRDefault="10B4236B" w:rsidP="10B4236B">
      <w:pPr>
        <w:rPr>
          <w:rFonts w:eastAsia="Times New Roman" w:cs="Times New Roman"/>
        </w:rPr>
      </w:pPr>
    </w:p>
    <w:p w14:paraId="4E378795" w14:textId="77777777" w:rsidR="00B87928" w:rsidRPr="009C31D7" w:rsidRDefault="00FD0262" w:rsidP="006012D3">
      <w:pPr>
        <w:rPr>
          <w:rFonts w:eastAsia="Yu Gothic Light" w:cs="Times New Roman"/>
          <w:b/>
          <w:i/>
          <w:color w:val="2F5496"/>
          <w:szCs w:val="24"/>
        </w:rPr>
      </w:pPr>
      <w:bookmarkStart w:id="24" w:name="_Hlk17280293"/>
      <w:r w:rsidRPr="009C31D7">
        <w:rPr>
          <w:rFonts w:eastAsia="Yu Gothic Light" w:cs="Times New Roman"/>
          <w:b/>
          <w:i/>
          <w:color w:val="2F5496"/>
          <w:szCs w:val="24"/>
        </w:rPr>
        <w:t>Are funds received through the Reimbursement Fund subject to audit?</w:t>
      </w:r>
      <w:bookmarkStart w:id="25" w:name="_Hlk11162962"/>
      <w:bookmarkEnd w:id="24"/>
      <w:bookmarkEnd w:id="25"/>
    </w:p>
    <w:p w14:paraId="56F527C2" w14:textId="77777777" w:rsidR="00B87928" w:rsidRPr="009C31D7" w:rsidRDefault="00FD0262" w:rsidP="006012D3">
      <w:pPr>
        <w:rPr>
          <w:rFonts w:cs="Times New Roman"/>
          <w:szCs w:val="24"/>
        </w:rPr>
      </w:pPr>
      <w:r w:rsidRPr="009C31D7">
        <w:rPr>
          <w:rFonts w:cs="Times New Roman"/>
          <w:szCs w:val="24"/>
        </w:rPr>
        <w:t xml:space="preserve">Yes.  Participants in the reimbursement program are subject to a variety of audits that could be conducted by various oversight bodies, including but not limited to, the FCC Office of Inspector General (OIG), Government Accountability Office (GAO), or U.S. Treasury.  A station has an ongoing obligation to retain documentation supporting its requests for reimbursement for a period that extends 10 years after the date it receives its final payment from the Reimbursement Fund. </w:t>
      </w:r>
    </w:p>
    <w:p w14:paraId="31033749" w14:textId="77777777" w:rsidR="00434C51" w:rsidRPr="009C31D7" w:rsidRDefault="00434C51" w:rsidP="006F47DA">
      <w:pPr>
        <w:rPr>
          <w:rFonts w:cs="Times New Roman"/>
          <w:szCs w:val="24"/>
        </w:rPr>
      </w:pPr>
    </w:p>
    <w:p w14:paraId="56C3159B" w14:textId="77777777" w:rsidR="00B87928" w:rsidRPr="009C31D7" w:rsidRDefault="00FD0262" w:rsidP="006012D3">
      <w:pPr>
        <w:rPr>
          <w:rFonts w:cs="Times New Roman"/>
          <w:szCs w:val="24"/>
        </w:rPr>
      </w:pPr>
      <w:r w:rsidRPr="009C31D7">
        <w:rPr>
          <w:rFonts w:eastAsia="Yu Gothic Light" w:cs="Times New Roman"/>
          <w:b/>
          <w:i/>
          <w:color w:val="2F5496"/>
          <w:szCs w:val="24"/>
        </w:rPr>
        <w:t>Is there a federal domestic assistance code associated with payment from the Reimbursement Fund?</w:t>
      </w:r>
    </w:p>
    <w:p w14:paraId="5F7856F2" w14:textId="77777777" w:rsidR="00B87928" w:rsidRPr="009C31D7" w:rsidRDefault="00FD0262">
      <w:pPr>
        <w:spacing w:after="120"/>
        <w:rPr>
          <w:rFonts w:cs="Times New Roman"/>
          <w:szCs w:val="24"/>
        </w:rPr>
      </w:pPr>
      <w:r w:rsidRPr="009C31D7">
        <w:rPr>
          <w:rFonts w:cs="Times New Roman"/>
          <w:szCs w:val="24"/>
        </w:rPr>
        <w:t>No.  For the purposes of accounting for disbursements made for repack, the funding provided to stations is treated as an exchange transaction as opposed to a non-exchange transaction, such as a grant or a subsidy/Federal assistance.  Accordingly, disbursements from the Reimbursement Fund are not associated with a federal domestic assistance code.  We suggest that stations consult with their auditors about a station’s audit obligations.</w:t>
      </w:r>
    </w:p>
    <w:p w14:paraId="118BBC51" w14:textId="6A4CBE56" w:rsidR="00B87928" w:rsidRPr="009C31D7" w:rsidRDefault="00FD0262">
      <w:pPr>
        <w:pStyle w:val="Heading2"/>
        <w:spacing w:before="240"/>
        <w:rPr>
          <w:rFonts w:ascii="Times New Roman" w:hAnsi="Times New Roman"/>
          <w:b/>
          <w:i/>
          <w:sz w:val="24"/>
          <w:szCs w:val="24"/>
        </w:rPr>
      </w:pPr>
      <w:r w:rsidRPr="009C31D7">
        <w:rPr>
          <w:rFonts w:ascii="Times New Roman" w:hAnsi="Times New Roman"/>
          <w:b/>
          <w:i/>
          <w:sz w:val="24"/>
          <w:szCs w:val="24"/>
        </w:rPr>
        <w:t>Where Can I Find More Information About the Reimbursement Process</w:t>
      </w:r>
      <w:r w:rsidR="4F31D7AE" w:rsidRPr="009C31D7">
        <w:rPr>
          <w:rFonts w:ascii="Times New Roman" w:hAnsi="Times New Roman"/>
          <w:b/>
          <w:bCs/>
          <w:i/>
          <w:iCs/>
          <w:sz w:val="24"/>
          <w:szCs w:val="24"/>
        </w:rPr>
        <w:t>?</w:t>
      </w:r>
    </w:p>
    <w:p w14:paraId="3DEEC669" w14:textId="422B1955" w:rsidR="00B87928" w:rsidRPr="009C31D7" w:rsidRDefault="00FD0262" w:rsidP="005F749E">
      <w:r w:rsidRPr="009C31D7">
        <w:rPr>
          <w:szCs w:val="24"/>
        </w:rPr>
        <w:t xml:space="preserve">Procedures governing the LPTV/translator reimbursement process are located at section 73.3701 of the Commission’s rules.  47 CFR § 73.3701.  </w:t>
      </w:r>
      <w:r w:rsidRPr="009C31D7">
        <w:rPr>
          <w:bCs/>
          <w:iCs/>
          <w:spacing w:val="-1"/>
          <w:szCs w:val="24"/>
        </w:rPr>
        <w:t xml:space="preserve">You can find additional information at </w:t>
      </w:r>
      <w:hyperlink r:id="rId24" w:history="1">
        <w:r w:rsidRPr="00604C2B">
          <w:rPr>
            <w:rStyle w:val="Hyperlink"/>
            <w:color w:val="4472C4" w:themeColor="accent1"/>
            <w:spacing w:val="-1"/>
            <w:szCs w:val="24"/>
          </w:rPr>
          <w:t>www.fcc.gov/incentiveauctions/reimbursement</w:t>
        </w:r>
      </w:hyperlink>
      <w:r w:rsidRPr="009C31D7">
        <w:rPr>
          <w:b/>
          <w:i/>
          <w:szCs w:val="24"/>
        </w:rPr>
        <w:t>,</w:t>
      </w:r>
      <w:r w:rsidRPr="009C31D7">
        <w:rPr>
          <w:bCs/>
          <w:iCs/>
          <w:spacing w:val="-1"/>
          <w:szCs w:val="24"/>
        </w:rPr>
        <w:t xml:space="preserve"> to include public notices that address in detail the uses of Form 1876 and FCC Form 2100, Schedule 399, as well as the LPTV/translator cost catalog.  You also can submit questions to </w:t>
      </w:r>
      <w:hyperlink r:id="rId25" w:history="1">
        <w:r w:rsidRPr="00604C2B">
          <w:rPr>
            <w:rStyle w:val="Hyperlink"/>
            <w:color w:val="4472C4" w:themeColor="accent1"/>
            <w:spacing w:val="-1"/>
            <w:szCs w:val="24"/>
          </w:rPr>
          <w:t>reimburse@fcc.gov</w:t>
        </w:r>
      </w:hyperlink>
      <w:r w:rsidRPr="009C31D7">
        <w:rPr>
          <w:bCs/>
          <w:iCs/>
          <w:color w:val="4472C4" w:themeColor="accent1"/>
          <w:spacing w:val="-1"/>
          <w:szCs w:val="24"/>
        </w:rPr>
        <w:t xml:space="preserve"> </w:t>
      </w:r>
      <w:r w:rsidRPr="009C31D7">
        <w:rPr>
          <w:bCs/>
          <w:iCs/>
          <w:spacing w:val="-1"/>
          <w:szCs w:val="24"/>
        </w:rPr>
        <w:t xml:space="preserve">or call </w:t>
      </w:r>
      <w:r w:rsidR="00CC4250" w:rsidRPr="009C31D7">
        <w:rPr>
          <w:bCs/>
          <w:iCs/>
          <w:spacing w:val="-1"/>
          <w:szCs w:val="24"/>
        </w:rPr>
        <w:t>(</w:t>
      </w:r>
      <w:r w:rsidRPr="009C31D7">
        <w:rPr>
          <w:bCs/>
          <w:iCs/>
          <w:spacing w:val="-1"/>
          <w:szCs w:val="24"/>
        </w:rPr>
        <w:t>202</w:t>
      </w:r>
      <w:r w:rsidR="00CC4250" w:rsidRPr="009C31D7">
        <w:rPr>
          <w:bCs/>
          <w:iCs/>
          <w:spacing w:val="-1"/>
          <w:szCs w:val="24"/>
        </w:rPr>
        <w:t xml:space="preserve">) </w:t>
      </w:r>
      <w:r w:rsidRPr="009C31D7">
        <w:rPr>
          <w:bCs/>
          <w:iCs/>
          <w:spacing w:val="-1"/>
          <w:szCs w:val="24"/>
        </w:rPr>
        <w:t>418-2009.</w:t>
      </w:r>
    </w:p>
    <w:sectPr w:rsidR="00B87928" w:rsidRPr="009C31D7">
      <w:headerReference w:type="default" r:id="rId26"/>
      <w:footerReference w:type="defaul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4915" w14:textId="77777777" w:rsidR="00974458" w:rsidRDefault="00974458">
      <w:r>
        <w:separator/>
      </w:r>
    </w:p>
  </w:endnote>
  <w:endnote w:type="continuationSeparator" w:id="0">
    <w:p w14:paraId="4C688B7E" w14:textId="77777777" w:rsidR="00974458" w:rsidRDefault="00974458">
      <w:r>
        <w:continuationSeparator/>
      </w:r>
    </w:p>
  </w:endnote>
  <w:endnote w:type="continuationNotice" w:id="1">
    <w:p w14:paraId="0E1E5F54" w14:textId="77777777" w:rsidR="00974458" w:rsidRDefault="00974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A8A0" w14:textId="77777777" w:rsidR="00587C22" w:rsidRDefault="00FD0262">
    <w:pPr>
      <w:pStyle w:val="Footer"/>
      <w:jc w:val="center"/>
    </w:pPr>
    <w:r>
      <w:fldChar w:fldCharType="begin"/>
    </w:r>
    <w:r>
      <w:instrText xml:space="preserve"> PAGE </w:instrText>
    </w:r>
    <w:r>
      <w:fldChar w:fldCharType="separate"/>
    </w:r>
    <w:r>
      <w:t>9</w:t>
    </w:r>
    <w:r>
      <w:fldChar w:fldCharType="end"/>
    </w:r>
  </w:p>
  <w:p w14:paraId="2368A74B" w14:textId="4085388D" w:rsidR="00587C22" w:rsidRDefault="00FD0262">
    <w:pPr>
      <w:pStyle w:val="Footer"/>
    </w:pPr>
    <w:r>
      <w:tab/>
    </w:r>
    <w:r>
      <w:tab/>
    </w:r>
    <w:r w:rsidR="00F03DC9">
      <w:t>January 27</w:t>
    </w:r>
    <w:r w:rsidR="00B430EC">
      <w:t>, 202</w:t>
    </w:r>
    <w:r w:rsidR="00F03DC9">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9842" w14:textId="77777777" w:rsidR="00974458" w:rsidRDefault="00974458">
      <w:r>
        <w:rPr>
          <w:color w:val="000000"/>
        </w:rPr>
        <w:separator/>
      </w:r>
    </w:p>
  </w:footnote>
  <w:footnote w:type="continuationSeparator" w:id="0">
    <w:p w14:paraId="7776DAE9" w14:textId="77777777" w:rsidR="00974458" w:rsidRDefault="00974458">
      <w:r>
        <w:continuationSeparator/>
      </w:r>
    </w:p>
  </w:footnote>
  <w:footnote w:type="continuationNotice" w:id="1">
    <w:p w14:paraId="4A357B56" w14:textId="77777777" w:rsidR="00974458" w:rsidRDefault="00974458"/>
  </w:footnote>
  <w:footnote w:id="2">
    <w:p w14:paraId="71604E7C" w14:textId="77777777" w:rsidR="00B87928" w:rsidRDefault="00FD0262">
      <w:pPr>
        <w:pStyle w:val="FootnoteText"/>
      </w:pPr>
      <w:r>
        <w:rPr>
          <w:rStyle w:val="FootnoteReference"/>
        </w:rPr>
        <w:footnoteRef/>
      </w:r>
      <w:r>
        <w:t xml:space="preserve"> Updated October 8, 2019</w:t>
      </w:r>
    </w:p>
  </w:footnote>
  <w:footnote w:id="3">
    <w:p w14:paraId="75EB8248" w14:textId="01DFC9F6" w:rsidR="03488535" w:rsidRDefault="03488535" w:rsidP="006012D3">
      <w:pPr>
        <w:pStyle w:val="FootnoteText"/>
      </w:pPr>
      <w:r w:rsidRPr="03488535">
        <w:rPr>
          <w:rStyle w:val="FootnoteReference"/>
        </w:rPr>
        <w:footnoteRef/>
      </w:r>
      <w:r>
        <w:t xml:space="preserve"> </w:t>
      </w:r>
      <w:r w:rsidRPr="00CC4250">
        <w:t xml:space="preserve">Updated </w:t>
      </w:r>
      <w:r w:rsidR="000C4991" w:rsidRPr="00CC4250">
        <w:t xml:space="preserve">April </w:t>
      </w:r>
      <w:r w:rsidR="00CC4250" w:rsidRPr="00CC4250">
        <w:t>7</w:t>
      </w:r>
      <w:r w:rsidR="000C4991" w:rsidRPr="00CC4250">
        <w:t>, 2020</w:t>
      </w:r>
      <w:r w:rsidRPr="00CC4250">
        <w:t>. An</w:t>
      </w:r>
      <w:r>
        <w:t xml:space="preserve"> initial allocation was made on March 26, 2020 to those stations that had submitted eligibility certification, been deemed eligible and submitted a cost estimate for verification. Stations that submit an eligibility certification, modify a previously submitted certification or submit a cost estimate after March 26, 2020 will be considered for eligibility</w:t>
      </w:r>
      <w:r w:rsidR="004D4CC7">
        <w:t xml:space="preserve"> at a later date</w:t>
      </w:r>
      <w:r>
        <w:t xml:space="preserve">.  If deemed eligible, the station’s cost estimate submission will be reviewed and verified. </w:t>
      </w:r>
      <w:r w:rsidR="004D4CC7">
        <w:t xml:space="preserve"> </w:t>
      </w:r>
      <w:r>
        <w:t xml:space="preserve">The station will then be included in any subsequent allocations provided by the FCC. </w:t>
      </w:r>
    </w:p>
  </w:footnote>
  <w:footnote w:id="4">
    <w:p w14:paraId="5A7B2D1B" w14:textId="77777777" w:rsidR="00B87928" w:rsidRDefault="00FD0262">
      <w:pPr>
        <w:pStyle w:val="FootnoteText"/>
      </w:pPr>
      <w:r>
        <w:rPr>
          <w:rStyle w:val="FootnoteReference"/>
        </w:rPr>
        <w:footnoteRef/>
      </w:r>
      <w:r>
        <w:t xml:space="preserve"> Updated September 10, 2019</w:t>
      </w:r>
    </w:p>
  </w:footnote>
  <w:footnote w:id="5">
    <w:p w14:paraId="6EC76F6C" w14:textId="329389FA" w:rsidR="00C1047A" w:rsidRDefault="00C1047A">
      <w:pPr>
        <w:pStyle w:val="FootnoteText"/>
      </w:pPr>
      <w:r>
        <w:rPr>
          <w:rStyle w:val="FootnoteReference"/>
        </w:rPr>
        <w:footnoteRef/>
      </w:r>
      <w:r>
        <w:t xml:space="preserve"> Updated July 19, 2022</w:t>
      </w:r>
    </w:p>
  </w:footnote>
  <w:footnote w:id="6">
    <w:p w14:paraId="734417CD" w14:textId="6365C470" w:rsidR="00DB3F2F" w:rsidRDefault="00DB3F2F">
      <w:pPr>
        <w:pStyle w:val="FootnoteText"/>
      </w:pPr>
      <w:r>
        <w:rPr>
          <w:rStyle w:val="FootnoteReference"/>
        </w:rPr>
        <w:footnoteRef/>
      </w:r>
      <w:r>
        <w:t xml:space="preserve"> </w:t>
      </w:r>
      <w:r w:rsidRPr="00CC4250">
        <w:t xml:space="preserve">Updated </w:t>
      </w:r>
      <w:r w:rsidR="0094102B" w:rsidRPr="00CC4250">
        <w:t xml:space="preserve">April </w:t>
      </w:r>
      <w:r w:rsidR="00CC4250" w:rsidRPr="00CC4250">
        <w:t>7</w:t>
      </w:r>
      <w:r>
        <w:t>, 2020</w:t>
      </w:r>
    </w:p>
  </w:footnote>
  <w:footnote w:id="7">
    <w:p w14:paraId="08488635" w14:textId="77777777" w:rsidR="00B87928" w:rsidRDefault="00FD0262">
      <w:pPr>
        <w:pStyle w:val="FootnoteText"/>
      </w:pPr>
      <w:r>
        <w:rPr>
          <w:rStyle w:val="FootnoteReference"/>
        </w:rPr>
        <w:footnoteRef/>
      </w:r>
      <w:r>
        <w:t xml:space="preserve"> Updated October 8, 2019</w:t>
      </w:r>
    </w:p>
  </w:footnote>
  <w:footnote w:id="8">
    <w:p w14:paraId="4A79B8ED" w14:textId="296B01D2" w:rsidR="03488535" w:rsidRDefault="03488535" w:rsidP="006012D3">
      <w:pPr>
        <w:pStyle w:val="FootnoteText"/>
      </w:pPr>
      <w:r w:rsidRPr="03488535">
        <w:rPr>
          <w:rStyle w:val="FootnoteReference"/>
        </w:rPr>
        <w:footnoteRef/>
      </w:r>
      <w:r>
        <w:t xml:space="preserve"> Updated </w:t>
      </w:r>
      <w:r w:rsidR="00F75D11" w:rsidRPr="00CC4250">
        <w:t xml:space="preserve">April </w:t>
      </w:r>
      <w:r w:rsidR="00CC4250" w:rsidRPr="00CC4250">
        <w:t>7</w:t>
      </w:r>
      <w:r w:rsidR="00F75D11" w:rsidRPr="00CC4250">
        <w:t>, 2020</w:t>
      </w:r>
    </w:p>
  </w:footnote>
  <w:footnote w:id="9">
    <w:p w14:paraId="3FF64152" w14:textId="77777777" w:rsidR="00B87928" w:rsidRDefault="00FD0262">
      <w:pPr>
        <w:pStyle w:val="FootnoteText"/>
      </w:pPr>
      <w:r>
        <w:rPr>
          <w:rStyle w:val="FootnoteReference"/>
        </w:rPr>
        <w:footnoteRef/>
      </w:r>
      <w:r>
        <w:t xml:space="preserve"> Updated September 10, 2019</w:t>
      </w:r>
    </w:p>
  </w:footnote>
  <w:footnote w:id="10">
    <w:p w14:paraId="398A8003" w14:textId="5DCAF1CF" w:rsidR="003561DE" w:rsidRDefault="003561DE">
      <w:pPr>
        <w:pStyle w:val="FootnoteText"/>
      </w:pPr>
      <w:r>
        <w:rPr>
          <w:rStyle w:val="FootnoteReference"/>
        </w:rPr>
        <w:footnoteRef/>
      </w:r>
      <w:r>
        <w:t xml:space="preserve"> Updated </w:t>
      </w:r>
      <w:r w:rsidR="00F75D11" w:rsidRPr="00CC4250">
        <w:t xml:space="preserve">April </w:t>
      </w:r>
      <w:r w:rsidR="00CC4250" w:rsidRPr="00CC4250">
        <w:t>7</w:t>
      </w:r>
      <w:r w:rsidRPr="00CC4250">
        <w:t>, 2020</w:t>
      </w:r>
    </w:p>
  </w:footnote>
  <w:footnote w:id="11">
    <w:p w14:paraId="4790ABB5" w14:textId="0A77BA2F" w:rsidR="003561DE" w:rsidRDefault="003561DE">
      <w:pPr>
        <w:pStyle w:val="FootnoteText"/>
      </w:pPr>
      <w:r w:rsidRPr="00CC4250">
        <w:rPr>
          <w:rStyle w:val="FootnoteReference"/>
        </w:rPr>
        <w:footnoteRef/>
      </w:r>
      <w:r w:rsidRPr="00CC4250">
        <w:t xml:space="preserve"> Updated </w:t>
      </w:r>
      <w:r w:rsidR="00F75D11" w:rsidRPr="00CC4250">
        <w:t xml:space="preserve">April </w:t>
      </w:r>
      <w:r w:rsidR="00CC4250">
        <w:t>7</w:t>
      </w:r>
      <w:r w:rsidRPr="00CC4250">
        <w:t>, 2020</w:t>
      </w:r>
      <w:r w:rsidR="005F749E">
        <w:t xml:space="preserve"> and </w:t>
      </w:r>
      <w:r w:rsidR="0018368A">
        <w:t xml:space="preserve">March </w:t>
      </w:r>
      <w:r w:rsidR="005F749E">
        <w:t>31</w:t>
      </w:r>
      <w:r w:rsidR="0018368A">
        <w:t>, 2022</w:t>
      </w:r>
    </w:p>
  </w:footnote>
  <w:footnote w:id="12">
    <w:p w14:paraId="3642EA92" w14:textId="623832C8" w:rsidR="00900FCD" w:rsidRPr="00CC4250" w:rsidRDefault="00900FCD">
      <w:pPr>
        <w:pStyle w:val="FootnoteText"/>
      </w:pPr>
      <w:r w:rsidRPr="00CC4250">
        <w:rPr>
          <w:rStyle w:val="FootnoteReference"/>
        </w:rPr>
        <w:footnoteRef/>
      </w:r>
      <w:r w:rsidRPr="00CC4250">
        <w:t xml:space="preserve"> Updated </w:t>
      </w:r>
      <w:r w:rsidR="000E29A1" w:rsidRPr="00CC4250">
        <w:t xml:space="preserve">April </w:t>
      </w:r>
      <w:r w:rsidR="00CC4250">
        <w:t>7</w:t>
      </w:r>
      <w:r w:rsidRPr="00CC4250">
        <w:t>, 2020</w:t>
      </w:r>
    </w:p>
  </w:footnote>
  <w:footnote w:id="13">
    <w:p w14:paraId="6B28DB08" w14:textId="41501E5D" w:rsidR="00900FCD" w:rsidRDefault="00900FCD">
      <w:pPr>
        <w:pStyle w:val="FootnoteText"/>
      </w:pPr>
      <w:r w:rsidRPr="00CC4250">
        <w:rPr>
          <w:rStyle w:val="FootnoteReference"/>
        </w:rPr>
        <w:footnoteRef/>
      </w:r>
      <w:r w:rsidRPr="00CC4250">
        <w:t xml:space="preserve"> Updated </w:t>
      </w:r>
      <w:r w:rsidR="000E29A1" w:rsidRPr="00CC4250">
        <w:t xml:space="preserve">April </w:t>
      </w:r>
      <w:r w:rsidR="00CC4250">
        <w:t>7</w:t>
      </w:r>
      <w:r w:rsidRPr="00CC4250">
        <w:t>, 2020</w:t>
      </w:r>
    </w:p>
  </w:footnote>
  <w:footnote w:id="14">
    <w:p w14:paraId="37A5068B" w14:textId="611D1A5E" w:rsidR="00900FCD" w:rsidRPr="00CC4250" w:rsidRDefault="00900FCD">
      <w:pPr>
        <w:pStyle w:val="FootnoteText"/>
      </w:pPr>
      <w:r w:rsidRPr="00CC4250">
        <w:rPr>
          <w:rStyle w:val="FootnoteReference"/>
        </w:rPr>
        <w:footnoteRef/>
      </w:r>
      <w:r w:rsidRPr="00CC4250">
        <w:t xml:space="preserve"> Updated </w:t>
      </w:r>
      <w:r w:rsidR="000E29A1" w:rsidRPr="00CC4250">
        <w:t xml:space="preserve">April </w:t>
      </w:r>
      <w:r w:rsidR="00CC4250">
        <w:t>7</w:t>
      </w:r>
      <w:r w:rsidRPr="00CC4250">
        <w:t>, 2020</w:t>
      </w:r>
    </w:p>
  </w:footnote>
  <w:footnote w:id="15">
    <w:p w14:paraId="7A8B110F" w14:textId="1A18A3B1" w:rsidR="00900FCD" w:rsidRPr="00CC4250" w:rsidRDefault="00900FCD">
      <w:pPr>
        <w:pStyle w:val="FootnoteText"/>
      </w:pPr>
      <w:r w:rsidRPr="00CC4250">
        <w:rPr>
          <w:rStyle w:val="FootnoteReference"/>
        </w:rPr>
        <w:footnoteRef/>
      </w:r>
      <w:r w:rsidRPr="00CC4250">
        <w:t xml:space="preserve"> Updated </w:t>
      </w:r>
      <w:r w:rsidR="000E29A1" w:rsidRPr="00CC4250">
        <w:t xml:space="preserve">April </w:t>
      </w:r>
      <w:r w:rsidR="00CC4250">
        <w:t>7</w:t>
      </w:r>
      <w:r w:rsidRPr="00CC4250">
        <w:t>, 2020</w:t>
      </w:r>
    </w:p>
  </w:footnote>
  <w:footnote w:id="16">
    <w:p w14:paraId="6F45F45B" w14:textId="15DCF07A" w:rsidR="00900FCD" w:rsidRPr="000E29A1" w:rsidRDefault="00900FCD">
      <w:pPr>
        <w:pStyle w:val="FootnoteText"/>
        <w:rPr>
          <w:highlight w:val="yellow"/>
        </w:rPr>
      </w:pPr>
      <w:r w:rsidRPr="00CC4250">
        <w:rPr>
          <w:rStyle w:val="FootnoteReference"/>
        </w:rPr>
        <w:footnoteRef/>
      </w:r>
      <w:r w:rsidRPr="00CC4250">
        <w:t xml:space="preserve"> Updated </w:t>
      </w:r>
      <w:r w:rsidR="000E29A1" w:rsidRPr="00CC4250">
        <w:t xml:space="preserve">April </w:t>
      </w:r>
      <w:r w:rsidR="00CC4250">
        <w:t>7</w:t>
      </w:r>
      <w:r w:rsidRPr="00CC4250">
        <w:t>, 2020</w:t>
      </w:r>
    </w:p>
  </w:footnote>
  <w:footnote w:id="17">
    <w:p w14:paraId="21ED15C8" w14:textId="73496417" w:rsidR="00900FCD" w:rsidRPr="00CC4250" w:rsidRDefault="00900FCD">
      <w:pPr>
        <w:pStyle w:val="FootnoteText"/>
      </w:pPr>
      <w:r w:rsidRPr="00CC4250">
        <w:rPr>
          <w:rStyle w:val="FootnoteReference"/>
        </w:rPr>
        <w:footnoteRef/>
      </w:r>
      <w:r w:rsidRPr="00CC4250">
        <w:t xml:space="preserve"> Updated </w:t>
      </w:r>
      <w:r w:rsidR="000E29A1" w:rsidRPr="00CC4250">
        <w:t xml:space="preserve">April </w:t>
      </w:r>
      <w:r w:rsidR="00CC4250">
        <w:t>7</w:t>
      </w:r>
      <w:r w:rsidRPr="00CC4250">
        <w:t>, 2020</w:t>
      </w:r>
    </w:p>
  </w:footnote>
  <w:footnote w:id="18">
    <w:p w14:paraId="42241664" w14:textId="10992D2A" w:rsidR="00F97084" w:rsidRPr="00CC4250" w:rsidRDefault="00F97084">
      <w:pPr>
        <w:pStyle w:val="FootnoteText"/>
      </w:pPr>
      <w:r w:rsidRPr="00CC4250">
        <w:rPr>
          <w:rStyle w:val="FootnoteReference"/>
        </w:rPr>
        <w:footnoteRef/>
      </w:r>
      <w:r w:rsidRPr="00CC4250">
        <w:t xml:space="preserve"> Updated </w:t>
      </w:r>
      <w:r w:rsidR="000E29A1" w:rsidRPr="00CC4250">
        <w:t xml:space="preserve">April </w:t>
      </w:r>
      <w:r w:rsidR="00CC4250">
        <w:t>7</w:t>
      </w:r>
      <w:r w:rsidRPr="00CC4250">
        <w:t>, 2020</w:t>
      </w:r>
    </w:p>
  </w:footnote>
  <w:footnote w:id="19">
    <w:p w14:paraId="1B925AA5" w14:textId="23F22F60" w:rsidR="000E29A1" w:rsidRPr="00CC4250" w:rsidRDefault="000E29A1">
      <w:pPr>
        <w:pStyle w:val="FootnoteText"/>
      </w:pPr>
      <w:r w:rsidRPr="00CC4250">
        <w:rPr>
          <w:rStyle w:val="FootnoteReference"/>
        </w:rPr>
        <w:footnoteRef/>
      </w:r>
      <w:r w:rsidRPr="00CC4250">
        <w:t xml:space="preserve"> Updated April </w:t>
      </w:r>
      <w:r w:rsidR="00CC4250">
        <w:t>7</w:t>
      </w:r>
      <w:r w:rsidRPr="00CC4250">
        <w:t>, 2020</w:t>
      </w:r>
    </w:p>
  </w:footnote>
  <w:footnote w:id="20">
    <w:p w14:paraId="60D46D4E" w14:textId="4EA60EC9" w:rsidR="002C185D" w:rsidRDefault="002C185D">
      <w:pPr>
        <w:pStyle w:val="FootnoteText"/>
      </w:pPr>
      <w:r w:rsidRPr="00CC4250">
        <w:rPr>
          <w:rStyle w:val="FootnoteReference"/>
        </w:rPr>
        <w:footnoteRef/>
      </w:r>
      <w:r w:rsidRPr="00CC4250">
        <w:t xml:space="preserve"> Updated </w:t>
      </w:r>
      <w:r w:rsidR="000E29A1" w:rsidRPr="00CC4250">
        <w:t xml:space="preserve">April </w:t>
      </w:r>
      <w:r w:rsidR="00CC4250">
        <w:t>7</w:t>
      </w:r>
      <w:r w:rsidRPr="00CC4250">
        <w:t>, 2020</w:t>
      </w:r>
    </w:p>
  </w:footnote>
  <w:footnote w:id="21">
    <w:p w14:paraId="0242002A" w14:textId="65ABE270" w:rsidR="000E29A1" w:rsidRDefault="000E29A1">
      <w:pPr>
        <w:pStyle w:val="FootnoteText"/>
      </w:pPr>
      <w:r>
        <w:rPr>
          <w:rStyle w:val="FootnoteReference"/>
        </w:rPr>
        <w:footnoteRef/>
      </w:r>
      <w:r>
        <w:t xml:space="preserve"> </w:t>
      </w:r>
      <w:r w:rsidRPr="00CC4250">
        <w:t xml:space="preserve">Updated April </w:t>
      </w:r>
      <w:r w:rsidR="00CC4250" w:rsidRPr="00CC4250">
        <w:t>7</w:t>
      </w:r>
      <w:r w:rsidRPr="00CC4250">
        <w:t>, 2020</w:t>
      </w:r>
      <w:r>
        <w:t xml:space="preserve"> to add </w:t>
      </w:r>
      <w:r w:rsidR="00DF17E7">
        <w:t xml:space="preserve">Submitting Invoices </w:t>
      </w:r>
      <w:r>
        <w:t>section</w:t>
      </w:r>
    </w:p>
  </w:footnote>
  <w:footnote w:id="22">
    <w:p w14:paraId="3076C99A" w14:textId="01DF7EF5" w:rsidR="005056E2" w:rsidRDefault="005056E2" w:rsidP="005056E2">
      <w:pPr>
        <w:pStyle w:val="FootnoteText"/>
      </w:pPr>
      <w:r>
        <w:rPr>
          <w:rStyle w:val="FootnoteReference"/>
        </w:rPr>
        <w:footnoteRef/>
      </w:r>
      <w:r>
        <w:t xml:space="preserve"> </w:t>
      </w:r>
      <w:r w:rsidRPr="001D7E2E">
        <w:t xml:space="preserve">Added </w:t>
      </w:r>
      <w:r w:rsidR="00906405">
        <w:t>March 3</w:t>
      </w:r>
      <w:r w:rsidR="005F749E">
        <w:t>1</w:t>
      </w:r>
      <w:r w:rsidR="00906405">
        <w:t>, 2022</w:t>
      </w:r>
      <w:r w:rsidR="00DB53C1">
        <w:t xml:space="preserve">, Updated </w:t>
      </w:r>
      <w:r w:rsidR="00F03DC9">
        <w:t>January</w:t>
      </w:r>
      <w:r w:rsidR="00A06499">
        <w:t xml:space="preserve"> 2</w:t>
      </w:r>
      <w:r w:rsidR="00F03DC9">
        <w:t>7</w:t>
      </w:r>
      <w:r w:rsidR="00A06499">
        <w:t>, 202</w:t>
      </w:r>
      <w:r w:rsidR="00F03DC9">
        <w:t>3</w:t>
      </w:r>
    </w:p>
  </w:footnote>
  <w:footnote w:id="23">
    <w:p w14:paraId="23575368" w14:textId="2F95BF8A" w:rsidR="00DF17E7" w:rsidRDefault="00DF17E7">
      <w:pPr>
        <w:pStyle w:val="FootnoteText"/>
      </w:pPr>
      <w:r>
        <w:rPr>
          <w:rStyle w:val="FootnoteReference"/>
        </w:rPr>
        <w:footnoteRef/>
      </w:r>
      <w:r>
        <w:t xml:space="preserve"> </w:t>
      </w:r>
      <w:r w:rsidRPr="00CC4250">
        <w:t xml:space="preserve">Updated April </w:t>
      </w:r>
      <w:r w:rsidR="00CC4250">
        <w:t>7</w:t>
      </w:r>
      <w:r w:rsidRPr="00CC4250">
        <w:t>, 2020 to add Payment</w:t>
      </w:r>
      <w:r>
        <w:t xml:space="preserve"> Process section</w:t>
      </w:r>
    </w:p>
  </w:footnote>
  <w:footnote w:id="24">
    <w:p w14:paraId="7064A114" w14:textId="77777777" w:rsidR="008F6CDD" w:rsidRPr="00571507" w:rsidRDefault="008F6CDD" w:rsidP="008F6CDD">
      <w:pPr>
        <w:pStyle w:val="FootnoteText"/>
      </w:pPr>
      <w:r w:rsidRPr="00571507">
        <w:rPr>
          <w:rStyle w:val="FootnoteReference"/>
        </w:rPr>
        <w:footnoteRef/>
      </w:r>
      <w:r w:rsidRPr="00571507">
        <w:t xml:space="preserve"> Updated April 7, 2020</w:t>
      </w:r>
    </w:p>
  </w:footnote>
  <w:footnote w:id="25">
    <w:p w14:paraId="5F8470C7" w14:textId="77777777" w:rsidR="008F6CDD" w:rsidRPr="00571507" w:rsidRDefault="008F6CDD" w:rsidP="008F6CDD">
      <w:pPr>
        <w:pStyle w:val="FootnoteText"/>
      </w:pPr>
      <w:r w:rsidRPr="00571507">
        <w:rPr>
          <w:rStyle w:val="FootnoteReference"/>
        </w:rPr>
        <w:footnoteRef/>
      </w:r>
      <w:r w:rsidRPr="00571507">
        <w:t xml:space="preserve"> Updated April 7, 2020</w:t>
      </w:r>
    </w:p>
  </w:footnote>
  <w:footnote w:id="26">
    <w:p w14:paraId="76E76D83" w14:textId="77777777" w:rsidR="008F6CDD" w:rsidRPr="00571507" w:rsidRDefault="008F6CDD" w:rsidP="008F6CDD">
      <w:pPr>
        <w:pStyle w:val="FootnoteText"/>
      </w:pPr>
      <w:r w:rsidRPr="00571507">
        <w:rPr>
          <w:rStyle w:val="FootnoteReference"/>
        </w:rPr>
        <w:footnoteRef/>
      </w:r>
      <w:r w:rsidRPr="00571507">
        <w:t xml:space="preserve"> Updated April 7, 2020</w:t>
      </w:r>
    </w:p>
  </w:footnote>
  <w:footnote w:id="27">
    <w:p w14:paraId="27613806" w14:textId="2E2E4A8F" w:rsidR="008F6CDD" w:rsidRDefault="008F6CDD" w:rsidP="008F6CDD">
      <w:r w:rsidRPr="00571507">
        <w:rPr>
          <w:rStyle w:val="FootnoteReference"/>
          <w:sz w:val="20"/>
          <w:szCs w:val="20"/>
        </w:rPr>
        <w:footnoteRef/>
      </w:r>
      <w:r w:rsidRPr="00571507">
        <w:rPr>
          <w:rStyle w:val="FootnoteReference"/>
          <w:sz w:val="20"/>
          <w:szCs w:val="20"/>
        </w:rPr>
        <w:t xml:space="preserve"> </w:t>
      </w:r>
      <w:r w:rsidRPr="00571507">
        <w:rPr>
          <w:sz w:val="20"/>
          <w:szCs w:val="20"/>
        </w:rPr>
        <w:t>Updated April 7, 2020</w:t>
      </w:r>
      <w:r w:rsidR="005F749E">
        <w:rPr>
          <w:sz w:val="20"/>
          <w:szCs w:val="20"/>
        </w:rPr>
        <w:t xml:space="preserve"> and March 31, 2022</w:t>
      </w:r>
    </w:p>
  </w:footnote>
  <w:footnote w:id="28">
    <w:p w14:paraId="57AEF45A" w14:textId="1E012E77" w:rsidR="008F6CDD" w:rsidRDefault="008F6CDD" w:rsidP="008F6CDD">
      <w:pPr>
        <w:pStyle w:val="FootnoteText"/>
      </w:pPr>
      <w:r w:rsidRPr="00CC4250">
        <w:rPr>
          <w:rStyle w:val="FootnoteReference"/>
        </w:rPr>
        <w:footnoteRef/>
      </w:r>
      <w:r w:rsidRPr="00CC4250">
        <w:t xml:space="preserve"> Updated April </w:t>
      </w:r>
      <w:r>
        <w:t>7</w:t>
      </w:r>
      <w:r w:rsidRPr="00CC4250">
        <w:t>, 2020</w:t>
      </w:r>
      <w:r w:rsidR="005F749E">
        <w:t xml:space="preserve"> and</w:t>
      </w:r>
      <w:r w:rsidR="005F749E" w:rsidRPr="005F749E">
        <w:t xml:space="preserve"> </w:t>
      </w:r>
      <w:r w:rsidR="005F749E">
        <w:t>March 31, 2022</w:t>
      </w:r>
    </w:p>
  </w:footnote>
  <w:footnote w:id="29">
    <w:p w14:paraId="0ADDCA1E" w14:textId="356BA168" w:rsidR="000E2F03" w:rsidRDefault="000E2F03">
      <w:pPr>
        <w:pStyle w:val="FootnoteText"/>
      </w:pPr>
      <w:r>
        <w:rPr>
          <w:rStyle w:val="FootnoteReference"/>
        </w:rPr>
        <w:footnoteRef/>
      </w:r>
      <w:r>
        <w:t xml:space="preserve"> </w:t>
      </w:r>
      <w:r w:rsidR="00663560">
        <w:t xml:space="preserve">Added April </w:t>
      </w:r>
      <w:r w:rsidR="009F5ADA">
        <w:t>22</w:t>
      </w:r>
      <w:r w:rsidR="00663560">
        <w:t>, 2020</w:t>
      </w:r>
      <w:r w:rsidR="00601852">
        <w:t>.</w:t>
      </w:r>
      <w:r w:rsidR="00991887">
        <w:t xml:space="preserve"> Updated March 31, 2022</w:t>
      </w:r>
      <w:r w:rsidR="000F68BA">
        <w:t xml:space="preserve"> and </w:t>
      </w:r>
      <w:r w:rsidR="00F03DC9">
        <w:t>January</w:t>
      </w:r>
      <w:r w:rsidR="000F68BA">
        <w:t xml:space="preserve"> 2</w:t>
      </w:r>
      <w:r w:rsidR="00F03DC9">
        <w:t>7</w:t>
      </w:r>
      <w:r w:rsidR="000F68BA">
        <w:t>, 202</w:t>
      </w:r>
      <w:r w:rsidR="00F03DC9">
        <w:t>3</w:t>
      </w:r>
    </w:p>
  </w:footnote>
  <w:footnote w:id="30">
    <w:p w14:paraId="4E224979" w14:textId="77777777" w:rsidR="00981329" w:rsidRPr="00E00BBC" w:rsidRDefault="00981329" w:rsidP="00981329">
      <w:pPr>
        <w:pStyle w:val="FootnoteText"/>
        <w:rPr>
          <w:rFonts w:cs="Times New Roman"/>
        </w:rPr>
      </w:pPr>
      <w:r w:rsidRPr="00E00BBC">
        <w:rPr>
          <w:rStyle w:val="FootnoteReference"/>
          <w:rFonts w:cs="Times New Roman"/>
        </w:rPr>
        <w:footnoteRef/>
      </w:r>
      <w:r w:rsidRPr="00E00BBC">
        <w:rPr>
          <w:rFonts w:cs="Times New Roman"/>
        </w:rPr>
        <w:t xml:space="preserve"> </w:t>
      </w:r>
      <w:r>
        <w:rPr>
          <w:rFonts w:cs="Times New Roman"/>
        </w:rPr>
        <w:t>Added July 19, 2022</w:t>
      </w:r>
    </w:p>
  </w:footnote>
  <w:footnote w:id="31">
    <w:p w14:paraId="6A82A2C9" w14:textId="77777777" w:rsidR="00AD3F40" w:rsidRPr="00E20DBD" w:rsidRDefault="00AD3F40" w:rsidP="00AD3F40">
      <w:pPr>
        <w:pStyle w:val="FootnoteText"/>
        <w:rPr>
          <w:rFonts w:cs="Times New Roman"/>
        </w:rPr>
      </w:pPr>
      <w:r w:rsidRPr="00E94744">
        <w:rPr>
          <w:rStyle w:val="FootnoteReference"/>
          <w:rFonts w:cs="Times New Roman"/>
        </w:rPr>
        <w:footnoteRef/>
      </w:r>
      <w:r w:rsidRPr="00E20DBD">
        <w:rPr>
          <w:rFonts w:cs="Times New Roman"/>
        </w:rPr>
        <w:t xml:space="preserve"> </w:t>
      </w:r>
      <w:r>
        <w:t>Added July 19, 2022</w:t>
      </w:r>
    </w:p>
  </w:footnote>
  <w:footnote w:id="32">
    <w:p w14:paraId="59BF005D" w14:textId="22678747" w:rsidR="006651C1" w:rsidRDefault="006651C1">
      <w:pPr>
        <w:pStyle w:val="FootnoteText"/>
      </w:pPr>
      <w:r w:rsidRPr="00CC4250">
        <w:rPr>
          <w:rStyle w:val="FootnoteReference"/>
        </w:rPr>
        <w:footnoteRef/>
      </w:r>
      <w:r w:rsidRPr="00CC4250">
        <w:t xml:space="preserve"> Updated </w:t>
      </w:r>
      <w:r w:rsidR="00DF17E7" w:rsidRPr="00CC4250">
        <w:t xml:space="preserve">April </w:t>
      </w:r>
      <w:r w:rsidR="00CC4250">
        <w:t>7</w:t>
      </w:r>
      <w:r w:rsidRPr="00CC4250">
        <w:t>, 2020</w:t>
      </w:r>
    </w:p>
  </w:footnote>
  <w:footnote w:id="33">
    <w:p w14:paraId="31B9DEAD" w14:textId="276D9ADB" w:rsidR="003561DE" w:rsidRPr="00CC4250" w:rsidRDefault="003561DE">
      <w:pPr>
        <w:pStyle w:val="FootnoteText"/>
      </w:pPr>
      <w:r w:rsidRPr="00CC4250">
        <w:rPr>
          <w:rStyle w:val="FootnoteReference"/>
        </w:rPr>
        <w:footnoteRef/>
      </w:r>
      <w:r w:rsidRPr="00CC4250">
        <w:t xml:space="preserve"> Updated </w:t>
      </w:r>
      <w:r w:rsidR="00581221" w:rsidRPr="00CC4250">
        <w:t xml:space="preserve">April </w:t>
      </w:r>
      <w:r w:rsidR="00CC4250">
        <w:t>7</w:t>
      </w:r>
      <w:r w:rsidRPr="00CC4250">
        <w:t>, 2020</w:t>
      </w:r>
    </w:p>
  </w:footnote>
  <w:footnote w:id="34">
    <w:p w14:paraId="6E1A97D7" w14:textId="0756A96C" w:rsidR="003561DE" w:rsidRDefault="003561DE">
      <w:pPr>
        <w:pStyle w:val="FootnoteText"/>
      </w:pPr>
      <w:r w:rsidRPr="00CC4250">
        <w:rPr>
          <w:rStyle w:val="FootnoteReference"/>
        </w:rPr>
        <w:footnoteRef/>
      </w:r>
      <w:r w:rsidRPr="00CC4250">
        <w:t xml:space="preserve"> </w:t>
      </w:r>
      <w:r w:rsidR="00323C9C" w:rsidRPr="00CC4250">
        <w:t xml:space="preserve">Updated </w:t>
      </w:r>
      <w:r w:rsidR="00581221" w:rsidRPr="00CC4250">
        <w:t xml:space="preserve">April </w:t>
      </w:r>
      <w:r w:rsidR="00CC4250">
        <w:t>7</w:t>
      </w:r>
      <w:r w:rsidR="00323C9C" w:rsidRPr="00CC4250">
        <w:t>, 2020</w:t>
      </w:r>
    </w:p>
  </w:footnote>
  <w:footnote w:id="35">
    <w:p w14:paraId="24AF3899" w14:textId="663DD4BC" w:rsidR="00323C9C" w:rsidRDefault="00323C9C">
      <w:pPr>
        <w:pStyle w:val="FootnoteText"/>
      </w:pPr>
      <w:r w:rsidRPr="00CC4250">
        <w:rPr>
          <w:rStyle w:val="FootnoteReference"/>
        </w:rPr>
        <w:footnoteRef/>
      </w:r>
      <w:r w:rsidRPr="00CC4250">
        <w:t xml:space="preserve"> Updated </w:t>
      </w:r>
      <w:r w:rsidR="00581221" w:rsidRPr="00CC4250">
        <w:t xml:space="preserve">April </w:t>
      </w:r>
      <w:r w:rsidR="00CC4250">
        <w:t>7</w:t>
      </w:r>
      <w:r w:rsidRPr="00CC4250">
        <w:t>, 2020</w:t>
      </w:r>
    </w:p>
  </w:footnote>
  <w:footnote w:id="36">
    <w:p w14:paraId="5D9745E6" w14:textId="40D73257" w:rsidR="00DF6A93" w:rsidRPr="00CC4250" w:rsidRDefault="00DF6A93">
      <w:pPr>
        <w:pStyle w:val="FootnoteText"/>
      </w:pPr>
      <w:r w:rsidRPr="00CC4250">
        <w:rPr>
          <w:rStyle w:val="FootnoteReference"/>
        </w:rPr>
        <w:footnoteRef/>
      </w:r>
      <w:r w:rsidRPr="00CC4250">
        <w:t xml:space="preserve"> Updated </w:t>
      </w:r>
      <w:r w:rsidR="00224751" w:rsidRPr="00CC4250">
        <w:t xml:space="preserve">April </w:t>
      </w:r>
      <w:r w:rsidR="00CC4250">
        <w:t>7</w:t>
      </w:r>
      <w:r w:rsidRPr="00CC4250">
        <w:t>, 2020</w:t>
      </w:r>
    </w:p>
  </w:footnote>
  <w:footnote w:id="37">
    <w:p w14:paraId="47A8E979" w14:textId="60BEAF9A" w:rsidR="00DF6A93" w:rsidRDefault="00DF6A93">
      <w:pPr>
        <w:pStyle w:val="FootnoteText"/>
      </w:pPr>
      <w:r w:rsidRPr="00CC4250">
        <w:rPr>
          <w:rStyle w:val="FootnoteReference"/>
        </w:rPr>
        <w:footnoteRef/>
      </w:r>
      <w:r w:rsidRPr="00CC4250">
        <w:t xml:space="preserve"> Updated </w:t>
      </w:r>
      <w:r w:rsidR="00224751" w:rsidRPr="00CC4250">
        <w:t xml:space="preserve">April </w:t>
      </w:r>
      <w:r w:rsidR="00CC4250">
        <w:t>7</w:t>
      </w:r>
      <w:r w:rsidRPr="00CC4250">
        <w:t>, 2020</w:t>
      </w:r>
    </w:p>
  </w:footnote>
  <w:footnote w:id="38">
    <w:p w14:paraId="1E1B09C1" w14:textId="388BC2C6" w:rsidR="00DF6A93" w:rsidRPr="00571507" w:rsidRDefault="00DF6A93">
      <w:pPr>
        <w:pStyle w:val="FootnoteText"/>
      </w:pPr>
      <w:r w:rsidRPr="00571507">
        <w:rPr>
          <w:rStyle w:val="FootnoteReference"/>
        </w:rPr>
        <w:footnoteRef/>
      </w:r>
      <w:r w:rsidRPr="00571507">
        <w:t xml:space="preserve"> Updated </w:t>
      </w:r>
      <w:r w:rsidR="00BB31F0" w:rsidRPr="00571507">
        <w:t xml:space="preserve">April </w:t>
      </w:r>
      <w:r w:rsidR="00CC4250" w:rsidRPr="00571507">
        <w:t>7</w:t>
      </w:r>
      <w:r w:rsidRPr="00571507">
        <w: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897E" w14:textId="77777777" w:rsidR="00587C22" w:rsidRDefault="00FD0262">
    <w:pPr>
      <w:pStyle w:val="Header"/>
      <w:ind w:left="1440"/>
    </w:pPr>
    <w:r>
      <w:rPr>
        <w:noProof/>
      </w:rPr>
      <w:drawing>
        <wp:anchor distT="0" distB="0" distL="114300" distR="114300" simplePos="0" relativeHeight="251658240" behindDoc="1" locked="0" layoutInCell="1" allowOverlap="1" wp14:anchorId="41259016" wp14:editId="07777777">
          <wp:simplePos x="0" y="0"/>
          <wp:positionH relativeFrom="margin">
            <wp:posOffset>583634</wp:posOffset>
          </wp:positionH>
          <wp:positionV relativeFrom="paragraph">
            <wp:posOffset>-5715</wp:posOffset>
          </wp:positionV>
          <wp:extent cx="5757172" cy="532436"/>
          <wp:effectExtent l="0" t="0" r="0" b="964"/>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7172" cy="532436"/>
                  </a:xfrm>
                  <a:prstGeom prst="rect">
                    <a:avLst/>
                  </a:prstGeom>
                  <a:noFill/>
                  <a:ln>
                    <a:noFill/>
                    <a:prstDash/>
                  </a:ln>
                </pic:spPr>
              </pic:pic>
            </a:graphicData>
          </a:graphic>
        </wp:anchor>
      </w:drawing>
    </w:r>
    <w:r>
      <w:rPr>
        <w:b/>
        <w:noProof/>
      </w:rPr>
      <w:drawing>
        <wp:anchor distT="0" distB="0" distL="114300" distR="114300" simplePos="0" relativeHeight="251658241" behindDoc="0" locked="0" layoutInCell="1" allowOverlap="1" wp14:anchorId="4C434E7A" wp14:editId="07777777">
          <wp:simplePos x="0" y="0"/>
          <wp:positionH relativeFrom="margin">
            <wp:posOffset>0</wp:posOffset>
          </wp:positionH>
          <wp:positionV relativeFrom="paragraph">
            <wp:posOffset>0</wp:posOffset>
          </wp:positionV>
          <wp:extent cx="550541" cy="550541"/>
          <wp:effectExtent l="0" t="0" r="1909" b="1909"/>
          <wp:wrapNone/>
          <wp:docPr id="2" name="Picture 4" descr="fcc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550541" cy="550541"/>
                  </a:xfrm>
                  <a:prstGeom prst="rect">
                    <a:avLst/>
                  </a:prstGeom>
                  <a:noFill/>
                  <a:ln>
                    <a:noFill/>
                    <a:prstDash/>
                  </a:ln>
                </pic:spPr>
              </pic:pic>
            </a:graphicData>
          </a:graphic>
        </wp:anchor>
      </w:drawing>
    </w:r>
    <w:r w:rsidR="14267BFB">
      <w:rPr>
        <w:rStyle w:val="NumberedquestionsChar"/>
        <w:rFonts w:ascii="Times New Roman" w:eastAsia="Calibri" w:hAnsi="Times New Roman"/>
      </w:rPr>
      <w:t>Reimbursement Expansion Act: Low Power Television (LPTV) &amp; Translator Station Frequently Asked Questions</w:t>
    </w:r>
  </w:p>
  <w:p w14:paraId="67EB5320" w14:textId="77777777" w:rsidR="00587C22" w:rsidRDefault="00FD0262">
    <w:pPr>
      <w:pStyle w:val="Header"/>
    </w:pPr>
    <w:r>
      <w:rPr>
        <w:rStyle w:val="NumberedquestionsChar"/>
        <w:rFonts w:ascii="Times New Roman" w:eastAsia="Calibri" w:hAnsi="Times New Roman"/>
      </w:rPr>
      <w:t xml:space="preserve">Post- </w:t>
    </w:r>
  </w:p>
  <w:p w14:paraId="3656B9AB" w14:textId="77777777" w:rsidR="00587C22" w:rsidRDefault="00587C22">
    <w:pPr>
      <w:pStyle w:val="Header"/>
      <w:rPr>
        <w:rFonts w:cs="Times New Roman"/>
        <w:b/>
        <w:bCs/>
        <w:iCs/>
        <w:color w:val="2778D1"/>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1F54"/>
    <w:multiLevelType w:val="hybridMultilevel"/>
    <w:tmpl w:val="FFFFFFFF"/>
    <w:lvl w:ilvl="0" w:tplc="13A279DC">
      <w:start w:val="1"/>
      <w:numFmt w:val="decimal"/>
      <w:lvlText w:val="%1."/>
      <w:lvlJc w:val="left"/>
      <w:pPr>
        <w:ind w:left="720" w:hanging="360"/>
      </w:pPr>
    </w:lvl>
    <w:lvl w:ilvl="1" w:tplc="62BC3512">
      <w:start w:val="1"/>
      <w:numFmt w:val="lowerLetter"/>
      <w:lvlText w:val="%2."/>
      <w:lvlJc w:val="left"/>
      <w:pPr>
        <w:ind w:left="1440" w:hanging="360"/>
      </w:pPr>
    </w:lvl>
    <w:lvl w:ilvl="2" w:tplc="60F6400E">
      <w:start w:val="1"/>
      <w:numFmt w:val="lowerRoman"/>
      <w:lvlText w:val="%3."/>
      <w:lvlJc w:val="right"/>
      <w:pPr>
        <w:ind w:left="2160" w:hanging="180"/>
      </w:pPr>
    </w:lvl>
    <w:lvl w:ilvl="3" w:tplc="C81EB538">
      <w:start w:val="1"/>
      <w:numFmt w:val="decimal"/>
      <w:lvlText w:val="%4."/>
      <w:lvlJc w:val="left"/>
      <w:pPr>
        <w:ind w:left="2880" w:hanging="360"/>
      </w:pPr>
    </w:lvl>
    <w:lvl w:ilvl="4" w:tplc="DBF85194">
      <w:start w:val="1"/>
      <w:numFmt w:val="lowerLetter"/>
      <w:lvlText w:val="%5."/>
      <w:lvlJc w:val="left"/>
      <w:pPr>
        <w:ind w:left="3600" w:hanging="360"/>
      </w:pPr>
    </w:lvl>
    <w:lvl w:ilvl="5" w:tplc="2B1057B0">
      <w:start w:val="1"/>
      <w:numFmt w:val="lowerRoman"/>
      <w:lvlText w:val="%6."/>
      <w:lvlJc w:val="right"/>
      <w:pPr>
        <w:ind w:left="4320" w:hanging="180"/>
      </w:pPr>
    </w:lvl>
    <w:lvl w:ilvl="6" w:tplc="8564E348">
      <w:start w:val="1"/>
      <w:numFmt w:val="decimal"/>
      <w:lvlText w:val="%7."/>
      <w:lvlJc w:val="left"/>
      <w:pPr>
        <w:ind w:left="5040" w:hanging="360"/>
      </w:pPr>
    </w:lvl>
    <w:lvl w:ilvl="7" w:tplc="E1841048">
      <w:start w:val="1"/>
      <w:numFmt w:val="lowerLetter"/>
      <w:lvlText w:val="%8."/>
      <w:lvlJc w:val="left"/>
      <w:pPr>
        <w:ind w:left="5760" w:hanging="360"/>
      </w:pPr>
    </w:lvl>
    <w:lvl w:ilvl="8" w:tplc="04B4BA8A">
      <w:start w:val="1"/>
      <w:numFmt w:val="lowerRoman"/>
      <w:lvlText w:val="%9."/>
      <w:lvlJc w:val="right"/>
      <w:pPr>
        <w:ind w:left="6480" w:hanging="180"/>
      </w:pPr>
    </w:lvl>
  </w:abstractNum>
  <w:abstractNum w:abstractNumId="1" w15:restartNumberingAfterBreak="0">
    <w:nsid w:val="102B071C"/>
    <w:multiLevelType w:val="hybridMultilevel"/>
    <w:tmpl w:val="EF4E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64729"/>
    <w:multiLevelType w:val="multilevel"/>
    <w:tmpl w:val="525A9AD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555027F"/>
    <w:multiLevelType w:val="multilevel"/>
    <w:tmpl w:val="BFA6F8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663356"/>
    <w:multiLevelType w:val="multilevel"/>
    <w:tmpl w:val="69E6F70E"/>
    <w:lvl w:ilvl="0">
      <w:numFmt w:val="bullet"/>
      <w:lvlText w:val="•"/>
      <w:lvlJc w:val="left"/>
      <w:pPr>
        <w:ind w:left="2880" w:hanging="360"/>
      </w:pPr>
      <w:rPr>
        <w:rFonts w:ascii="Times New Roman" w:eastAsia="Calibri" w:hAnsi="Times New Roman" w:cs="Times New Roman"/>
        <w:sz w:val="24"/>
      </w:rPr>
    </w:lvl>
    <w:lvl w:ilvl="1">
      <w:numFmt w:val="bullet"/>
      <w:lvlText w:val="o"/>
      <w:lvlJc w:val="left"/>
      <w:pPr>
        <w:ind w:left="3600" w:hanging="360"/>
      </w:pPr>
      <w:rPr>
        <w:rFonts w:ascii="Courier New" w:hAnsi="Courier New" w:cs="Courier New"/>
      </w:rPr>
    </w:lvl>
    <w:lvl w:ilvl="2">
      <w:numFmt w:val="bullet"/>
      <w:lvlText w:val=""/>
      <w:lvlJc w:val="left"/>
      <w:pPr>
        <w:ind w:left="4320" w:hanging="360"/>
      </w:pPr>
      <w:rPr>
        <w:rFonts w:ascii="Wingdings" w:hAnsi="Wingdings"/>
      </w:rPr>
    </w:lvl>
    <w:lvl w:ilvl="3">
      <w:numFmt w:val="bullet"/>
      <w:lvlText w:val=""/>
      <w:lvlJc w:val="left"/>
      <w:pPr>
        <w:ind w:left="5040" w:hanging="360"/>
      </w:pPr>
      <w:rPr>
        <w:rFonts w:ascii="Symbol" w:hAnsi="Symbol"/>
      </w:rPr>
    </w:lvl>
    <w:lvl w:ilvl="4">
      <w:numFmt w:val="bullet"/>
      <w:lvlText w:val="o"/>
      <w:lvlJc w:val="left"/>
      <w:pPr>
        <w:ind w:left="5760" w:hanging="360"/>
      </w:pPr>
      <w:rPr>
        <w:rFonts w:ascii="Courier New" w:hAnsi="Courier New" w:cs="Courier New"/>
      </w:rPr>
    </w:lvl>
    <w:lvl w:ilvl="5">
      <w:numFmt w:val="bullet"/>
      <w:lvlText w:val=""/>
      <w:lvlJc w:val="left"/>
      <w:pPr>
        <w:ind w:left="6480" w:hanging="360"/>
      </w:pPr>
      <w:rPr>
        <w:rFonts w:ascii="Wingdings" w:hAnsi="Wingdings"/>
      </w:rPr>
    </w:lvl>
    <w:lvl w:ilvl="6">
      <w:numFmt w:val="bullet"/>
      <w:lvlText w:val=""/>
      <w:lvlJc w:val="left"/>
      <w:pPr>
        <w:ind w:left="7200" w:hanging="360"/>
      </w:pPr>
      <w:rPr>
        <w:rFonts w:ascii="Symbol" w:hAnsi="Symbol"/>
      </w:rPr>
    </w:lvl>
    <w:lvl w:ilvl="7">
      <w:numFmt w:val="bullet"/>
      <w:lvlText w:val="o"/>
      <w:lvlJc w:val="left"/>
      <w:pPr>
        <w:ind w:left="7920" w:hanging="360"/>
      </w:pPr>
      <w:rPr>
        <w:rFonts w:ascii="Courier New" w:hAnsi="Courier New" w:cs="Courier New"/>
      </w:rPr>
    </w:lvl>
    <w:lvl w:ilvl="8">
      <w:numFmt w:val="bullet"/>
      <w:lvlText w:val=""/>
      <w:lvlJc w:val="left"/>
      <w:pPr>
        <w:ind w:left="8640" w:hanging="360"/>
      </w:pPr>
      <w:rPr>
        <w:rFonts w:ascii="Wingdings" w:hAnsi="Wingdings"/>
      </w:rPr>
    </w:lvl>
  </w:abstractNum>
  <w:abstractNum w:abstractNumId="5" w15:restartNumberingAfterBreak="0">
    <w:nsid w:val="20A21045"/>
    <w:multiLevelType w:val="multilevel"/>
    <w:tmpl w:val="A6FA6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3787365"/>
    <w:multiLevelType w:val="hybridMultilevel"/>
    <w:tmpl w:val="55DA0584"/>
    <w:lvl w:ilvl="0" w:tplc="D86AFEF6">
      <w:start w:val="1"/>
      <w:numFmt w:val="bullet"/>
      <w:lvlText w:val=""/>
      <w:lvlJc w:val="left"/>
      <w:pPr>
        <w:ind w:left="720" w:hanging="360"/>
      </w:pPr>
      <w:rPr>
        <w:rFonts w:ascii="Symbol" w:hAnsi="Symbol" w:hint="default"/>
      </w:rPr>
    </w:lvl>
    <w:lvl w:ilvl="1" w:tplc="CD888FB2">
      <w:start w:val="1"/>
      <w:numFmt w:val="bullet"/>
      <w:lvlText w:val="o"/>
      <w:lvlJc w:val="left"/>
      <w:pPr>
        <w:ind w:left="1440" w:hanging="360"/>
      </w:pPr>
      <w:rPr>
        <w:rFonts w:ascii="Courier New" w:hAnsi="Courier New" w:hint="default"/>
      </w:rPr>
    </w:lvl>
    <w:lvl w:ilvl="2" w:tplc="182A7F94">
      <w:start w:val="1"/>
      <w:numFmt w:val="bullet"/>
      <w:lvlText w:val=""/>
      <w:lvlJc w:val="left"/>
      <w:pPr>
        <w:ind w:left="2160" w:hanging="360"/>
      </w:pPr>
      <w:rPr>
        <w:rFonts w:ascii="Wingdings" w:hAnsi="Wingdings" w:hint="default"/>
      </w:rPr>
    </w:lvl>
    <w:lvl w:ilvl="3" w:tplc="F41A3EDE">
      <w:start w:val="1"/>
      <w:numFmt w:val="bullet"/>
      <w:lvlText w:val=""/>
      <w:lvlJc w:val="left"/>
      <w:pPr>
        <w:ind w:left="2880" w:hanging="360"/>
      </w:pPr>
      <w:rPr>
        <w:rFonts w:ascii="Symbol" w:hAnsi="Symbol" w:hint="default"/>
      </w:rPr>
    </w:lvl>
    <w:lvl w:ilvl="4" w:tplc="147C18A0">
      <w:start w:val="1"/>
      <w:numFmt w:val="bullet"/>
      <w:lvlText w:val="o"/>
      <w:lvlJc w:val="left"/>
      <w:pPr>
        <w:ind w:left="3600" w:hanging="360"/>
      </w:pPr>
      <w:rPr>
        <w:rFonts w:ascii="Courier New" w:hAnsi="Courier New" w:hint="default"/>
      </w:rPr>
    </w:lvl>
    <w:lvl w:ilvl="5" w:tplc="114E47B6">
      <w:start w:val="1"/>
      <w:numFmt w:val="bullet"/>
      <w:lvlText w:val=""/>
      <w:lvlJc w:val="left"/>
      <w:pPr>
        <w:ind w:left="4320" w:hanging="360"/>
      </w:pPr>
      <w:rPr>
        <w:rFonts w:ascii="Wingdings" w:hAnsi="Wingdings" w:hint="default"/>
      </w:rPr>
    </w:lvl>
    <w:lvl w:ilvl="6" w:tplc="8C88B06A">
      <w:start w:val="1"/>
      <w:numFmt w:val="bullet"/>
      <w:lvlText w:val=""/>
      <w:lvlJc w:val="left"/>
      <w:pPr>
        <w:ind w:left="5040" w:hanging="360"/>
      </w:pPr>
      <w:rPr>
        <w:rFonts w:ascii="Symbol" w:hAnsi="Symbol" w:hint="default"/>
      </w:rPr>
    </w:lvl>
    <w:lvl w:ilvl="7" w:tplc="3F40E226">
      <w:start w:val="1"/>
      <w:numFmt w:val="bullet"/>
      <w:lvlText w:val="o"/>
      <w:lvlJc w:val="left"/>
      <w:pPr>
        <w:ind w:left="5760" w:hanging="360"/>
      </w:pPr>
      <w:rPr>
        <w:rFonts w:ascii="Courier New" w:hAnsi="Courier New" w:hint="default"/>
      </w:rPr>
    </w:lvl>
    <w:lvl w:ilvl="8" w:tplc="58B22AA6">
      <w:start w:val="1"/>
      <w:numFmt w:val="bullet"/>
      <w:lvlText w:val=""/>
      <w:lvlJc w:val="left"/>
      <w:pPr>
        <w:ind w:left="6480" w:hanging="360"/>
      </w:pPr>
      <w:rPr>
        <w:rFonts w:ascii="Wingdings" w:hAnsi="Wingdings" w:hint="default"/>
      </w:rPr>
    </w:lvl>
  </w:abstractNum>
  <w:abstractNum w:abstractNumId="7" w15:restartNumberingAfterBreak="0">
    <w:nsid w:val="2A4F4605"/>
    <w:multiLevelType w:val="multilevel"/>
    <w:tmpl w:val="E1A036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30D229C1"/>
    <w:multiLevelType w:val="multilevel"/>
    <w:tmpl w:val="0622A44E"/>
    <w:lvl w:ilvl="0">
      <w:numFmt w:val="bullet"/>
      <w:lvlText w:val=""/>
      <w:lvlJc w:val="left"/>
      <w:pPr>
        <w:ind w:left="2880" w:hanging="360"/>
      </w:pPr>
      <w:rPr>
        <w:rFonts w:ascii="Symbol" w:hAnsi="Symbol"/>
        <w:sz w:val="18"/>
      </w:rPr>
    </w:lvl>
    <w:lvl w:ilvl="1">
      <w:numFmt w:val="bullet"/>
      <w:lvlText w:val="o"/>
      <w:lvlJc w:val="left"/>
      <w:pPr>
        <w:ind w:left="3600" w:hanging="360"/>
      </w:pPr>
      <w:rPr>
        <w:rFonts w:ascii="Courier New" w:hAnsi="Courier New" w:cs="Courier New"/>
      </w:rPr>
    </w:lvl>
    <w:lvl w:ilvl="2">
      <w:numFmt w:val="bullet"/>
      <w:lvlText w:val=""/>
      <w:lvlJc w:val="left"/>
      <w:pPr>
        <w:ind w:left="4320" w:hanging="360"/>
      </w:pPr>
      <w:rPr>
        <w:rFonts w:ascii="Wingdings" w:hAnsi="Wingdings"/>
      </w:rPr>
    </w:lvl>
    <w:lvl w:ilvl="3">
      <w:numFmt w:val="bullet"/>
      <w:lvlText w:val=""/>
      <w:lvlJc w:val="left"/>
      <w:pPr>
        <w:ind w:left="5040" w:hanging="360"/>
      </w:pPr>
      <w:rPr>
        <w:rFonts w:ascii="Symbol" w:hAnsi="Symbol"/>
      </w:rPr>
    </w:lvl>
    <w:lvl w:ilvl="4">
      <w:numFmt w:val="bullet"/>
      <w:lvlText w:val="o"/>
      <w:lvlJc w:val="left"/>
      <w:pPr>
        <w:ind w:left="5760" w:hanging="360"/>
      </w:pPr>
      <w:rPr>
        <w:rFonts w:ascii="Courier New" w:hAnsi="Courier New" w:cs="Courier New"/>
      </w:rPr>
    </w:lvl>
    <w:lvl w:ilvl="5">
      <w:numFmt w:val="bullet"/>
      <w:lvlText w:val=""/>
      <w:lvlJc w:val="left"/>
      <w:pPr>
        <w:ind w:left="6480" w:hanging="360"/>
      </w:pPr>
      <w:rPr>
        <w:rFonts w:ascii="Wingdings" w:hAnsi="Wingdings"/>
      </w:rPr>
    </w:lvl>
    <w:lvl w:ilvl="6">
      <w:numFmt w:val="bullet"/>
      <w:lvlText w:val=""/>
      <w:lvlJc w:val="left"/>
      <w:pPr>
        <w:ind w:left="7200" w:hanging="360"/>
      </w:pPr>
      <w:rPr>
        <w:rFonts w:ascii="Symbol" w:hAnsi="Symbol"/>
      </w:rPr>
    </w:lvl>
    <w:lvl w:ilvl="7">
      <w:numFmt w:val="bullet"/>
      <w:lvlText w:val="o"/>
      <w:lvlJc w:val="left"/>
      <w:pPr>
        <w:ind w:left="7920" w:hanging="360"/>
      </w:pPr>
      <w:rPr>
        <w:rFonts w:ascii="Courier New" w:hAnsi="Courier New" w:cs="Courier New"/>
      </w:rPr>
    </w:lvl>
    <w:lvl w:ilvl="8">
      <w:numFmt w:val="bullet"/>
      <w:lvlText w:val=""/>
      <w:lvlJc w:val="left"/>
      <w:pPr>
        <w:ind w:left="8640" w:hanging="360"/>
      </w:pPr>
      <w:rPr>
        <w:rFonts w:ascii="Wingdings" w:hAnsi="Wingdings"/>
      </w:rPr>
    </w:lvl>
  </w:abstractNum>
  <w:abstractNum w:abstractNumId="9" w15:restartNumberingAfterBreak="0">
    <w:nsid w:val="344F71EA"/>
    <w:multiLevelType w:val="hybridMultilevel"/>
    <w:tmpl w:val="FFFFFFFF"/>
    <w:lvl w:ilvl="0" w:tplc="BFB8ADA8">
      <w:start w:val="1"/>
      <w:numFmt w:val="bullet"/>
      <w:lvlText w:val=""/>
      <w:lvlJc w:val="left"/>
      <w:pPr>
        <w:ind w:left="720" w:hanging="360"/>
      </w:pPr>
      <w:rPr>
        <w:rFonts w:ascii="Symbol" w:hAnsi="Symbol" w:hint="default"/>
      </w:rPr>
    </w:lvl>
    <w:lvl w:ilvl="1" w:tplc="9CACE16A">
      <w:start w:val="1"/>
      <w:numFmt w:val="bullet"/>
      <w:lvlText w:val="o"/>
      <w:lvlJc w:val="left"/>
      <w:pPr>
        <w:ind w:left="1440" w:hanging="360"/>
      </w:pPr>
      <w:rPr>
        <w:rFonts w:ascii="Courier New" w:hAnsi="Courier New" w:hint="default"/>
      </w:rPr>
    </w:lvl>
    <w:lvl w:ilvl="2" w:tplc="62667D54">
      <w:start w:val="1"/>
      <w:numFmt w:val="bullet"/>
      <w:lvlText w:val=""/>
      <w:lvlJc w:val="left"/>
      <w:pPr>
        <w:ind w:left="2160" w:hanging="360"/>
      </w:pPr>
      <w:rPr>
        <w:rFonts w:ascii="Wingdings" w:hAnsi="Wingdings" w:hint="default"/>
      </w:rPr>
    </w:lvl>
    <w:lvl w:ilvl="3" w:tplc="6190270C">
      <w:start w:val="1"/>
      <w:numFmt w:val="bullet"/>
      <w:lvlText w:val=""/>
      <w:lvlJc w:val="left"/>
      <w:pPr>
        <w:ind w:left="2880" w:hanging="360"/>
      </w:pPr>
      <w:rPr>
        <w:rFonts w:ascii="Symbol" w:hAnsi="Symbol" w:hint="default"/>
      </w:rPr>
    </w:lvl>
    <w:lvl w:ilvl="4" w:tplc="44ACECDA">
      <w:start w:val="1"/>
      <w:numFmt w:val="bullet"/>
      <w:lvlText w:val="o"/>
      <w:lvlJc w:val="left"/>
      <w:pPr>
        <w:ind w:left="3600" w:hanging="360"/>
      </w:pPr>
      <w:rPr>
        <w:rFonts w:ascii="Courier New" w:hAnsi="Courier New" w:hint="default"/>
      </w:rPr>
    </w:lvl>
    <w:lvl w:ilvl="5" w:tplc="F95A84F0">
      <w:start w:val="1"/>
      <w:numFmt w:val="bullet"/>
      <w:lvlText w:val=""/>
      <w:lvlJc w:val="left"/>
      <w:pPr>
        <w:ind w:left="4320" w:hanging="360"/>
      </w:pPr>
      <w:rPr>
        <w:rFonts w:ascii="Wingdings" w:hAnsi="Wingdings" w:hint="default"/>
      </w:rPr>
    </w:lvl>
    <w:lvl w:ilvl="6" w:tplc="5A165BEE">
      <w:start w:val="1"/>
      <w:numFmt w:val="bullet"/>
      <w:lvlText w:val=""/>
      <w:lvlJc w:val="left"/>
      <w:pPr>
        <w:ind w:left="5040" w:hanging="360"/>
      </w:pPr>
      <w:rPr>
        <w:rFonts w:ascii="Symbol" w:hAnsi="Symbol" w:hint="default"/>
      </w:rPr>
    </w:lvl>
    <w:lvl w:ilvl="7" w:tplc="279E64F0">
      <w:start w:val="1"/>
      <w:numFmt w:val="bullet"/>
      <w:lvlText w:val="o"/>
      <w:lvlJc w:val="left"/>
      <w:pPr>
        <w:ind w:left="5760" w:hanging="360"/>
      </w:pPr>
      <w:rPr>
        <w:rFonts w:ascii="Courier New" w:hAnsi="Courier New" w:hint="default"/>
      </w:rPr>
    </w:lvl>
    <w:lvl w:ilvl="8" w:tplc="A0206562">
      <w:start w:val="1"/>
      <w:numFmt w:val="bullet"/>
      <w:lvlText w:val=""/>
      <w:lvlJc w:val="left"/>
      <w:pPr>
        <w:ind w:left="6480" w:hanging="360"/>
      </w:pPr>
      <w:rPr>
        <w:rFonts w:ascii="Wingdings" w:hAnsi="Wingdings" w:hint="default"/>
      </w:rPr>
    </w:lvl>
  </w:abstractNum>
  <w:abstractNum w:abstractNumId="10" w15:restartNumberingAfterBreak="0">
    <w:nsid w:val="3A6B531A"/>
    <w:multiLevelType w:val="hybridMultilevel"/>
    <w:tmpl w:val="CB48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37572"/>
    <w:multiLevelType w:val="multilevel"/>
    <w:tmpl w:val="EB3E5D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3D33C94"/>
    <w:multiLevelType w:val="hybridMultilevel"/>
    <w:tmpl w:val="3A8435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A249B"/>
    <w:multiLevelType w:val="hybridMultilevel"/>
    <w:tmpl w:val="2B2456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794994"/>
    <w:multiLevelType w:val="hybridMultilevel"/>
    <w:tmpl w:val="C1E63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D098C"/>
    <w:multiLevelType w:val="hybridMultilevel"/>
    <w:tmpl w:val="C190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253D9"/>
    <w:multiLevelType w:val="multilevel"/>
    <w:tmpl w:val="EF16CB7A"/>
    <w:styleLink w:val="WWOutlineListStyle1"/>
    <w:lvl w:ilvl="0">
      <w:start w:val="1"/>
      <w:numFmt w:val="none"/>
      <w:lvlText w:val="%1"/>
      <w:lvlJc w:val="left"/>
    </w:lvl>
    <w:lvl w:ilvl="1">
      <w:start w:val="1"/>
      <w:numFmt w:val="decimal"/>
      <w:pStyle w:val="Numberedquestions"/>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5B470B0F"/>
    <w:multiLevelType w:val="multilevel"/>
    <w:tmpl w:val="DAC68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0EA4F4A"/>
    <w:multiLevelType w:val="multilevel"/>
    <w:tmpl w:val="36C21AF8"/>
    <w:styleLink w:val="WWOutlineListStyle"/>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7463E67"/>
    <w:multiLevelType w:val="multilevel"/>
    <w:tmpl w:val="556A349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67ED3FD0"/>
    <w:multiLevelType w:val="multilevel"/>
    <w:tmpl w:val="991655D2"/>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73217ADA"/>
    <w:multiLevelType w:val="multilevel"/>
    <w:tmpl w:val="7E060902"/>
    <w:styleLink w:val="LFO31"/>
    <w:lvl w:ilvl="0">
      <w:start w:val="1"/>
      <w:numFmt w:val="decimal"/>
      <w:pStyle w:val="ParaNum"/>
      <w:lvlText w:val="%1."/>
      <w:lvlJc w:val="left"/>
      <w:pPr>
        <w:ind w:left="0" w:firstLine="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50E77F5"/>
    <w:multiLevelType w:val="hybridMultilevel"/>
    <w:tmpl w:val="FFFFFFFF"/>
    <w:lvl w:ilvl="0" w:tplc="70D62A8E">
      <w:start w:val="1"/>
      <w:numFmt w:val="bullet"/>
      <w:lvlText w:val=""/>
      <w:lvlJc w:val="left"/>
      <w:pPr>
        <w:ind w:left="720" w:hanging="360"/>
      </w:pPr>
      <w:rPr>
        <w:rFonts w:ascii="Symbol" w:hAnsi="Symbol" w:hint="default"/>
      </w:rPr>
    </w:lvl>
    <w:lvl w:ilvl="1" w:tplc="CEE6EA12">
      <w:start w:val="1"/>
      <w:numFmt w:val="bullet"/>
      <w:lvlText w:val="o"/>
      <w:lvlJc w:val="left"/>
      <w:pPr>
        <w:ind w:left="1440" w:hanging="360"/>
      </w:pPr>
      <w:rPr>
        <w:rFonts w:ascii="Courier New" w:hAnsi="Courier New" w:hint="default"/>
      </w:rPr>
    </w:lvl>
    <w:lvl w:ilvl="2" w:tplc="314EC2D2">
      <w:start w:val="1"/>
      <w:numFmt w:val="bullet"/>
      <w:lvlText w:val=""/>
      <w:lvlJc w:val="left"/>
      <w:pPr>
        <w:ind w:left="2160" w:hanging="360"/>
      </w:pPr>
      <w:rPr>
        <w:rFonts w:ascii="Wingdings" w:hAnsi="Wingdings" w:hint="default"/>
      </w:rPr>
    </w:lvl>
    <w:lvl w:ilvl="3" w:tplc="9C8A047A">
      <w:start w:val="1"/>
      <w:numFmt w:val="bullet"/>
      <w:lvlText w:val=""/>
      <w:lvlJc w:val="left"/>
      <w:pPr>
        <w:ind w:left="2880" w:hanging="360"/>
      </w:pPr>
      <w:rPr>
        <w:rFonts w:ascii="Symbol" w:hAnsi="Symbol" w:hint="default"/>
      </w:rPr>
    </w:lvl>
    <w:lvl w:ilvl="4" w:tplc="05A4DB96">
      <w:start w:val="1"/>
      <w:numFmt w:val="bullet"/>
      <w:lvlText w:val="o"/>
      <w:lvlJc w:val="left"/>
      <w:pPr>
        <w:ind w:left="3600" w:hanging="360"/>
      </w:pPr>
      <w:rPr>
        <w:rFonts w:ascii="Courier New" w:hAnsi="Courier New" w:hint="default"/>
      </w:rPr>
    </w:lvl>
    <w:lvl w:ilvl="5" w:tplc="B8BECCCC">
      <w:start w:val="1"/>
      <w:numFmt w:val="bullet"/>
      <w:lvlText w:val=""/>
      <w:lvlJc w:val="left"/>
      <w:pPr>
        <w:ind w:left="4320" w:hanging="360"/>
      </w:pPr>
      <w:rPr>
        <w:rFonts w:ascii="Wingdings" w:hAnsi="Wingdings" w:hint="default"/>
      </w:rPr>
    </w:lvl>
    <w:lvl w:ilvl="6" w:tplc="5F78D470">
      <w:start w:val="1"/>
      <w:numFmt w:val="bullet"/>
      <w:lvlText w:val=""/>
      <w:lvlJc w:val="left"/>
      <w:pPr>
        <w:ind w:left="5040" w:hanging="360"/>
      </w:pPr>
      <w:rPr>
        <w:rFonts w:ascii="Symbol" w:hAnsi="Symbol" w:hint="default"/>
      </w:rPr>
    </w:lvl>
    <w:lvl w:ilvl="7" w:tplc="75861D52">
      <w:start w:val="1"/>
      <w:numFmt w:val="bullet"/>
      <w:lvlText w:val="o"/>
      <w:lvlJc w:val="left"/>
      <w:pPr>
        <w:ind w:left="5760" w:hanging="360"/>
      </w:pPr>
      <w:rPr>
        <w:rFonts w:ascii="Courier New" w:hAnsi="Courier New" w:hint="default"/>
      </w:rPr>
    </w:lvl>
    <w:lvl w:ilvl="8" w:tplc="1730EEE2">
      <w:start w:val="1"/>
      <w:numFmt w:val="bullet"/>
      <w:lvlText w:val=""/>
      <w:lvlJc w:val="left"/>
      <w:pPr>
        <w:ind w:left="6480" w:hanging="360"/>
      </w:pPr>
      <w:rPr>
        <w:rFonts w:ascii="Wingdings" w:hAnsi="Wingdings" w:hint="default"/>
      </w:rPr>
    </w:lvl>
  </w:abstractNum>
  <w:abstractNum w:abstractNumId="23" w15:restartNumberingAfterBreak="0">
    <w:nsid w:val="77222921"/>
    <w:multiLevelType w:val="hybridMultilevel"/>
    <w:tmpl w:val="31CCCED6"/>
    <w:lvl w:ilvl="0" w:tplc="736215F6">
      <w:start w:val="1"/>
      <w:numFmt w:val="bullet"/>
      <w:lvlText w:val=""/>
      <w:lvlJc w:val="left"/>
      <w:pPr>
        <w:ind w:left="720" w:hanging="360"/>
      </w:pPr>
      <w:rPr>
        <w:rFonts w:ascii="Symbol" w:hAnsi="Symbol" w:hint="default"/>
      </w:rPr>
    </w:lvl>
    <w:lvl w:ilvl="1" w:tplc="06BA813C">
      <w:start w:val="1"/>
      <w:numFmt w:val="bullet"/>
      <w:lvlText w:val="o"/>
      <w:lvlJc w:val="left"/>
      <w:pPr>
        <w:ind w:left="1440" w:hanging="360"/>
      </w:pPr>
      <w:rPr>
        <w:rFonts w:ascii="Courier New" w:hAnsi="Courier New" w:hint="default"/>
      </w:rPr>
    </w:lvl>
    <w:lvl w:ilvl="2" w:tplc="48623F4E">
      <w:start w:val="1"/>
      <w:numFmt w:val="bullet"/>
      <w:lvlText w:val=""/>
      <w:lvlJc w:val="left"/>
      <w:pPr>
        <w:ind w:left="2160" w:hanging="360"/>
      </w:pPr>
      <w:rPr>
        <w:rFonts w:ascii="Wingdings" w:hAnsi="Wingdings" w:hint="default"/>
      </w:rPr>
    </w:lvl>
    <w:lvl w:ilvl="3" w:tplc="014E8776">
      <w:start w:val="1"/>
      <w:numFmt w:val="bullet"/>
      <w:lvlText w:val=""/>
      <w:lvlJc w:val="left"/>
      <w:pPr>
        <w:ind w:left="2880" w:hanging="360"/>
      </w:pPr>
      <w:rPr>
        <w:rFonts w:ascii="Symbol" w:hAnsi="Symbol" w:hint="default"/>
      </w:rPr>
    </w:lvl>
    <w:lvl w:ilvl="4" w:tplc="6248BADE">
      <w:start w:val="1"/>
      <w:numFmt w:val="bullet"/>
      <w:lvlText w:val="o"/>
      <w:lvlJc w:val="left"/>
      <w:pPr>
        <w:ind w:left="3600" w:hanging="360"/>
      </w:pPr>
      <w:rPr>
        <w:rFonts w:ascii="Courier New" w:hAnsi="Courier New" w:hint="default"/>
      </w:rPr>
    </w:lvl>
    <w:lvl w:ilvl="5" w:tplc="529A5FC4">
      <w:start w:val="1"/>
      <w:numFmt w:val="bullet"/>
      <w:lvlText w:val=""/>
      <w:lvlJc w:val="left"/>
      <w:pPr>
        <w:ind w:left="4320" w:hanging="360"/>
      </w:pPr>
      <w:rPr>
        <w:rFonts w:ascii="Wingdings" w:hAnsi="Wingdings" w:hint="default"/>
      </w:rPr>
    </w:lvl>
    <w:lvl w:ilvl="6" w:tplc="4AF64BE6">
      <w:start w:val="1"/>
      <w:numFmt w:val="bullet"/>
      <w:lvlText w:val=""/>
      <w:lvlJc w:val="left"/>
      <w:pPr>
        <w:ind w:left="5040" w:hanging="360"/>
      </w:pPr>
      <w:rPr>
        <w:rFonts w:ascii="Symbol" w:hAnsi="Symbol" w:hint="default"/>
      </w:rPr>
    </w:lvl>
    <w:lvl w:ilvl="7" w:tplc="34C27D7C">
      <w:start w:val="1"/>
      <w:numFmt w:val="bullet"/>
      <w:lvlText w:val="o"/>
      <w:lvlJc w:val="left"/>
      <w:pPr>
        <w:ind w:left="5760" w:hanging="360"/>
      </w:pPr>
      <w:rPr>
        <w:rFonts w:ascii="Courier New" w:hAnsi="Courier New" w:hint="default"/>
      </w:rPr>
    </w:lvl>
    <w:lvl w:ilvl="8" w:tplc="7D908442">
      <w:start w:val="1"/>
      <w:numFmt w:val="bullet"/>
      <w:lvlText w:val=""/>
      <w:lvlJc w:val="left"/>
      <w:pPr>
        <w:ind w:left="6480" w:hanging="360"/>
      </w:pPr>
      <w:rPr>
        <w:rFonts w:ascii="Wingdings" w:hAnsi="Wingdings" w:hint="default"/>
      </w:rPr>
    </w:lvl>
  </w:abstractNum>
  <w:abstractNum w:abstractNumId="24" w15:restartNumberingAfterBreak="0">
    <w:nsid w:val="7F664278"/>
    <w:multiLevelType w:val="hybridMultilevel"/>
    <w:tmpl w:val="FFFFFFFF"/>
    <w:lvl w:ilvl="0" w:tplc="71369D08">
      <w:start w:val="1"/>
      <w:numFmt w:val="bullet"/>
      <w:lvlText w:val=""/>
      <w:lvlJc w:val="left"/>
      <w:pPr>
        <w:ind w:left="720" w:hanging="360"/>
      </w:pPr>
      <w:rPr>
        <w:rFonts w:ascii="Symbol" w:hAnsi="Symbol" w:hint="default"/>
      </w:rPr>
    </w:lvl>
    <w:lvl w:ilvl="1" w:tplc="A6DCDFCC">
      <w:start w:val="1"/>
      <w:numFmt w:val="bullet"/>
      <w:lvlText w:val="o"/>
      <w:lvlJc w:val="left"/>
      <w:pPr>
        <w:ind w:left="1440" w:hanging="360"/>
      </w:pPr>
      <w:rPr>
        <w:rFonts w:ascii="Courier New" w:hAnsi="Courier New" w:hint="default"/>
      </w:rPr>
    </w:lvl>
    <w:lvl w:ilvl="2" w:tplc="2BE09696">
      <w:start w:val="1"/>
      <w:numFmt w:val="bullet"/>
      <w:lvlText w:val=""/>
      <w:lvlJc w:val="left"/>
      <w:pPr>
        <w:ind w:left="2160" w:hanging="360"/>
      </w:pPr>
      <w:rPr>
        <w:rFonts w:ascii="Wingdings" w:hAnsi="Wingdings" w:hint="default"/>
      </w:rPr>
    </w:lvl>
    <w:lvl w:ilvl="3" w:tplc="6B424B16">
      <w:start w:val="1"/>
      <w:numFmt w:val="bullet"/>
      <w:lvlText w:val=""/>
      <w:lvlJc w:val="left"/>
      <w:pPr>
        <w:ind w:left="2880" w:hanging="360"/>
      </w:pPr>
      <w:rPr>
        <w:rFonts w:ascii="Symbol" w:hAnsi="Symbol" w:hint="default"/>
      </w:rPr>
    </w:lvl>
    <w:lvl w:ilvl="4" w:tplc="EA788CA0">
      <w:start w:val="1"/>
      <w:numFmt w:val="bullet"/>
      <w:lvlText w:val="o"/>
      <w:lvlJc w:val="left"/>
      <w:pPr>
        <w:ind w:left="3600" w:hanging="360"/>
      </w:pPr>
      <w:rPr>
        <w:rFonts w:ascii="Courier New" w:hAnsi="Courier New" w:hint="default"/>
      </w:rPr>
    </w:lvl>
    <w:lvl w:ilvl="5" w:tplc="3B7EB0B2">
      <w:start w:val="1"/>
      <w:numFmt w:val="bullet"/>
      <w:lvlText w:val=""/>
      <w:lvlJc w:val="left"/>
      <w:pPr>
        <w:ind w:left="4320" w:hanging="360"/>
      </w:pPr>
      <w:rPr>
        <w:rFonts w:ascii="Wingdings" w:hAnsi="Wingdings" w:hint="default"/>
      </w:rPr>
    </w:lvl>
    <w:lvl w:ilvl="6" w:tplc="17D6EA44">
      <w:start w:val="1"/>
      <w:numFmt w:val="bullet"/>
      <w:lvlText w:val=""/>
      <w:lvlJc w:val="left"/>
      <w:pPr>
        <w:ind w:left="5040" w:hanging="360"/>
      </w:pPr>
      <w:rPr>
        <w:rFonts w:ascii="Symbol" w:hAnsi="Symbol" w:hint="default"/>
      </w:rPr>
    </w:lvl>
    <w:lvl w:ilvl="7" w:tplc="EDA2053C">
      <w:start w:val="1"/>
      <w:numFmt w:val="bullet"/>
      <w:lvlText w:val="o"/>
      <w:lvlJc w:val="left"/>
      <w:pPr>
        <w:ind w:left="5760" w:hanging="360"/>
      </w:pPr>
      <w:rPr>
        <w:rFonts w:ascii="Courier New" w:hAnsi="Courier New" w:hint="default"/>
      </w:rPr>
    </w:lvl>
    <w:lvl w:ilvl="8" w:tplc="3D78953E">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4"/>
  </w:num>
  <w:num w:numId="4">
    <w:abstractNumId w:val="0"/>
  </w:num>
  <w:num w:numId="5">
    <w:abstractNumId w:val="16"/>
  </w:num>
  <w:num w:numId="6">
    <w:abstractNumId w:val="18"/>
  </w:num>
  <w:num w:numId="7">
    <w:abstractNumId w:val="21"/>
  </w:num>
  <w:num w:numId="8">
    <w:abstractNumId w:val="2"/>
  </w:num>
  <w:num w:numId="9">
    <w:abstractNumId w:val="4"/>
  </w:num>
  <w:num w:numId="10">
    <w:abstractNumId w:val="8"/>
  </w:num>
  <w:num w:numId="11">
    <w:abstractNumId w:val="7"/>
  </w:num>
  <w:num w:numId="12">
    <w:abstractNumId w:val="11"/>
  </w:num>
  <w:num w:numId="13">
    <w:abstractNumId w:val="17"/>
  </w:num>
  <w:num w:numId="14">
    <w:abstractNumId w:val="19"/>
  </w:num>
  <w:num w:numId="15">
    <w:abstractNumId w:val="5"/>
  </w:num>
  <w:num w:numId="16">
    <w:abstractNumId w:val="3"/>
  </w:num>
  <w:num w:numId="17">
    <w:abstractNumId w:val="9"/>
  </w:num>
  <w:num w:numId="18">
    <w:abstractNumId w:val="22"/>
  </w:num>
  <w:num w:numId="19">
    <w:abstractNumId w:val="10"/>
  </w:num>
  <w:num w:numId="20">
    <w:abstractNumId w:val="12"/>
  </w:num>
  <w:num w:numId="21">
    <w:abstractNumId w:val="13"/>
  </w:num>
  <w:num w:numId="22">
    <w:abstractNumId w:val="14"/>
  </w:num>
  <w:num w:numId="23">
    <w:abstractNumId w:val="1"/>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28"/>
    <w:rsid w:val="00010488"/>
    <w:rsid w:val="00014CD0"/>
    <w:rsid w:val="00021456"/>
    <w:rsid w:val="00065BC2"/>
    <w:rsid w:val="00074430"/>
    <w:rsid w:val="0008379F"/>
    <w:rsid w:val="00085FEF"/>
    <w:rsid w:val="00090753"/>
    <w:rsid w:val="00091D52"/>
    <w:rsid w:val="000967DE"/>
    <w:rsid w:val="000B7D39"/>
    <w:rsid w:val="000C44D4"/>
    <w:rsid w:val="000C4991"/>
    <w:rsid w:val="000C57EE"/>
    <w:rsid w:val="000D58BF"/>
    <w:rsid w:val="000E29A1"/>
    <w:rsid w:val="000E2F03"/>
    <w:rsid w:val="000F68BA"/>
    <w:rsid w:val="00103C99"/>
    <w:rsid w:val="00111EE7"/>
    <w:rsid w:val="0011563D"/>
    <w:rsid w:val="00145C98"/>
    <w:rsid w:val="00155D5C"/>
    <w:rsid w:val="00163C9A"/>
    <w:rsid w:val="00180128"/>
    <w:rsid w:val="001822A8"/>
    <w:rsid w:val="0018368A"/>
    <w:rsid w:val="001A1332"/>
    <w:rsid w:val="001B4F3C"/>
    <w:rsid w:val="001D0B2A"/>
    <w:rsid w:val="001D0BE9"/>
    <w:rsid w:val="001E2EEB"/>
    <w:rsid w:val="001E63D2"/>
    <w:rsid w:val="001F2F42"/>
    <w:rsid w:val="00222862"/>
    <w:rsid w:val="00224751"/>
    <w:rsid w:val="00237D9D"/>
    <w:rsid w:val="00272CF3"/>
    <w:rsid w:val="00282709"/>
    <w:rsid w:val="00286EF7"/>
    <w:rsid w:val="00295E55"/>
    <w:rsid w:val="002C185D"/>
    <w:rsid w:val="002C5379"/>
    <w:rsid w:val="002D088B"/>
    <w:rsid w:val="002E414F"/>
    <w:rsid w:val="002E6DB8"/>
    <w:rsid w:val="00311291"/>
    <w:rsid w:val="00320E15"/>
    <w:rsid w:val="00323C9C"/>
    <w:rsid w:val="0032444B"/>
    <w:rsid w:val="00330E8E"/>
    <w:rsid w:val="00334274"/>
    <w:rsid w:val="0033692B"/>
    <w:rsid w:val="0035007C"/>
    <w:rsid w:val="003561DE"/>
    <w:rsid w:val="00373868"/>
    <w:rsid w:val="00377316"/>
    <w:rsid w:val="00384F30"/>
    <w:rsid w:val="00392C01"/>
    <w:rsid w:val="003A4301"/>
    <w:rsid w:val="003C6ED5"/>
    <w:rsid w:val="003D428D"/>
    <w:rsid w:val="003E173A"/>
    <w:rsid w:val="003F5B98"/>
    <w:rsid w:val="0041077B"/>
    <w:rsid w:val="00417F5E"/>
    <w:rsid w:val="00420B92"/>
    <w:rsid w:val="00434C51"/>
    <w:rsid w:val="004636A3"/>
    <w:rsid w:val="00497851"/>
    <w:rsid w:val="004B375B"/>
    <w:rsid w:val="004C1E8F"/>
    <w:rsid w:val="004C6693"/>
    <w:rsid w:val="004D4CC7"/>
    <w:rsid w:val="005056E2"/>
    <w:rsid w:val="00513842"/>
    <w:rsid w:val="005177A9"/>
    <w:rsid w:val="0052433B"/>
    <w:rsid w:val="005269D5"/>
    <w:rsid w:val="00571507"/>
    <w:rsid w:val="00581221"/>
    <w:rsid w:val="0058431E"/>
    <w:rsid w:val="00587C22"/>
    <w:rsid w:val="00594D29"/>
    <w:rsid w:val="005A5CDC"/>
    <w:rsid w:val="005B45AF"/>
    <w:rsid w:val="005C4300"/>
    <w:rsid w:val="005D79A8"/>
    <w:rsid w:val="005E47ED"/>
    <w:rsid w:val="005F749E"/>
    <w:rsid w:val="00601076"/>
    <w:rsid w:val="006012D3"/>
    <w:rsid w:val="00601852"/>
    <w:rsid w:val="00604C2B"/>
    <w:rsid w:val="00616A83"/>
    <w:rsid w:val="006343F5"/>
    <w:rsid w:val="00647DC9"/>
    <w:rsid w:val="00652BD6"/>
    <w:rsid w:val="0066064C"/>
    <w:rsid w:val="00663560"/>
    <w:rsid w:val="00663C69"/>
    <w:rsid w:val="006641DC"/>
    <w:rsid w:val="006651C1"/>
    <w:rsid w:val="006706A7"/>
    <w:rsid w:val="00686FE8"/>
    <w:rsid w:val="006B3F03"/>
    <w:rsid w:val="006B5B60"/>
    <w:rsid w:val="006E04B6"/>
    <w:rsid w:val="006E1EF6"/>
    <w:rsid w:val="006E242D"/>
    <w:rsid w:val="006E69C3"/>
    <w:rsid w:val="006F47DA"/>
    <w:rsid w:val="00700184"/>
    <w:rsid w:val="00701FD1"/>
    <w:rsid w:val="007173B3"/>
    <w:rsid w:val="0073287D"/>
    <w:rsid w:val="00736AF1"/>
    <w:rsid w:val="007477FE"/>
    <w:rsid w:val="007514D3"/>
    <w:rsid w:val="00756F34"/>
    <w:rsid w:val="00765E30"/>
    <w:rsid w:val="0077448A"/>
    <w:rsid w:val="00777120"/>
    <w:rsid w:val="00791C8B"/>
    <w:rsid w:val="00792BBA"/>
    <w:rsid w:val="00797D7D"/>
    <w:rsid w:val="007C4E09"/>
    <w:rsid w:val="007C72F3"/>
    <w:rsid w:val="007E077E"/>
    <w:rsid w:val="007E1C9C"/>
    <w:rsid w:val="008035C7"/>
    <w:rsid w:val="00826D75"/>
    <w:rsid w:val="008415E7"/>
    <w:rsid w:val="008557E4"/>
    <w:rsid w:val="00870A36"/>
    <w:rsid w:val="008813F0"/>
    <w:rsid w:val="00882B21"/>
    <w:rsid w:val="00894452"/>
    <w:rsid w:val="008A0EDD"/>
    <w:rsid w:val="008B234F"/>
    <w:rsid w:val="008B5D44"/>
    <w:rsid w:val="008C4890"/>
    <w:rsid w:val="008F2B76"/>
    <w:rsid w:val="008F2CF5"/>
    <w:rsid w:val="008F6CDD"/>
    <w:rsid w:val="00900FCD"/>
    <w:rsid w:val="009031A3"/>
    <w:rsid w:val="00903CBF"/>
    <w:rsid w:val="00906405"/>
    <w:rsid w:val="0091748E"/>
    <w:rsid w:val="00926BB7"/>
    <w:rsid w:val="0094102B"/>
    <w:rsid w:val="00941DD6"/>
    <w:rsid w:val="00950D6F"/>
    <w:rsid w:val="00956D02"/>
    <w:rsid w:val="00970F97"/>
    <w:rsid w:val="00973E44"/>
    <w:rsid w:val="00974458"/>
    <w:rsid w:val="0097617D"/>
    <w:rsid w:val="00981329"/>
    <w:rsid w:val="00991887"/>
    <w:rsid w:val="00997E58"/>
    <w:rsid w:val="009B1002"/>
    <w:rsid w:val="009B1477"/>
    <w:rsid w:val="009B2694"/>
    <w:rsid w:val="009B3844"/>
    <w:rsid w:val="009B3F6A"/>
    <w:rsid w:val="009C31D7"/>
    <w:rsid w:val="009C61D3"/>
    <w:rsid w:val="009D073F"/>
    <w:rsid w:val="009D7306"/>
    <w:rsid w:val="009E1F0C"/>
    <w:rsid w:val="009E626F"/>
    <w:rsid w:val="009F5ADA"/>
    <w:rsid w:val="00A06499"/>
    <w:rsid w:val="00A143B6"/>
    <w:rsid w:val="00A326BD"/>
    <w:rsid w:val="00A51F58"/>
    <w:rsid w:val="00A54ABB"/>
    <w:rsid w:val="00A54FB0"/>
    <w:rsid w:val="00A67376"/>
    <w:rsid w:val="00A6E940"/>
    <w:rsid w:val="00A90C18"/>
    <w:rsid w:val="00A94C45"/>
    <w:rsid w:val="00AD3F40"/>
    <w:rsid w:val="00AF2C48"/>
    <w:rsid w:val="00B036B9"/>
    <w:rsid w:val="00B10872"/>
    <w:rsid w:val="00B11CE7"/>
    <w:rsid w:val="00B11DA3"/>
    <w:rsid w:val="00B15C0A"/>
    <w:rsid w:val="00B33374"/>
    <w:rsid w:val="00B430EC"/>
    <w:rsid w:val="00B5069C"/>
    <w:rsid w:val="00B50E4A"/>
    <w:rsid w:val="00B52C02"/>
    <w:rsid w:val="00B6356F"/>
    <w:rsid w:val="00B7540D"/>
    <w:rsid w:val="00B769C7"/>
    <w:rsid w:val="00B80DEE"/>
    <w:rsid w:val="00B87928"/>
    <w:rsid w:val="00BA65C6"/>
    <w:rsid w:val="00BB31F0"/>
    <w:rsid w:val="00BC48A8"/>
    <w:rsid w:val="00BE2323"/>
    <w:rsid w:val="00C1047A"/>
    <w:rsid w:val="00C10E29"/>
    <w:rsid w:val="00C46FC3"/>
    <w:rsid w:val="00C539DE"/>
    <w:rsid w:val="00C57904"/>
    <w:rsid w:val="00C635AE"/>
    <w:rsid w:val="00C77111"/>
    <w:rsid w:val="00C92E76"/>
    <w:rsid w:val="00C95E45"/>
    <w:rsid w:val="00C9627D"/>
    <w:rsid w:val="00CA3671"/>
    <w:rsid w:val="00CB027F"/>
    <w:rsid w:val="00CC4250"/>
    <w:rsid w:val="00CD1009"/>
    <w:rsid w:val="00CE26F7"/>
    <w:rsid w:val="00CE4573"/>
    <w:rsid w:val="00CF04CD"/>
    <w:rsid w:val="00CF0724"/>
    <w:rsid w:val="00CF6410"/>
    <w:rsid w:val="00D038B9"/>
    <w:rsid w:val="00D26DE0"/>
    <w:rsid w:val="00D43FB1"/>
    <w:rsid w:val="00D81EC5"/>
    <w:rsid w:val="00D82D26"/>
    <w:rsid w:val="00D83083"/>
    <w:rsid w:val="00D84C22"/>
    <w:rsid w:val="00D8748E"/>
    <w:rsid w:val="00D94314"/>
    <w:rsid w:val="00DB3F2F"/>
    <w:rsid w:val="00DB405D"/>
    <w:rsid w:val="00DB53C1"/>
    <w:rsid w:val="00DB79FD"/>
    <w:rsid w:val="00DC01A6"/>
    <w:rsid w:val="00DE547E"/>
    <w:rsid w:val="00DE60B2"/>
    <w:rsid w:val="00DF0DDB"/>
    <w:rsid w:val="00DF17E7"/>
    <w:rsid w:val="00DF6A93"/>
    <w:rsid w:val="00DF6E6A"/>
    <w:rsid w:val="00E11EEC"/>
    <w:rsid w:val="00E121E3"/>
    <w:rsid w:val="00E12737"/>
    <w:rsid w:val="00E218EE"/>
    <w:rsid w:val="00E23BC8"/>
    <w:rsid w:val="00E276FC"/>
    <w:rsid w:val="00E324C0"/>
    <w:rsid w:val="00E570FA"/>
    <w:rsid w:val="00E91AFB"/>
    <w:rsid w:val="00EC4AE4"/>
    <w:rsid w:val="00EE165F"/>
    <w:rsid w:val="00EE1C18"/>
    <w:rsid w:val="00F03DC9"/>
    <w:rsid w:val="00F1028C"/>
    <w:rsid w:val="00F312F1"/>
    <w:rsid w:val="00F37796"/>
    <w:rsid w:val="00F417E0"/>
    <w:rsid w:val="00F50C6A"/>
    <w:rsid w:val="00F75D11"/>
    <w:rsid w:val="00F85FDB"/>
    <w:rsid w:val="00F90535"/>
    <w:rsid w:val="00F97084"/>
    <w:rsid w:val="00FC4FEC"/>
    <w:rsid w:val="00FC5613"/>
    <w:rsid w:val="00FC78C0"/>
    <w:rsid w:val="00FD0262"/>
    <w:rsid w:val="00FE58EC"/>
    <w:rsid w:val="00FF586A"/>
    <w:rsid w:val="013FAFF8"/>
    <w:rsid w:val="02954BC5"/>
    <w:rsid w:val="03488535"/>
    <w:rsid w:val="036AF05D"/>
    <w:rsid w:val="038ACF85"/>
    <w:rsid w:val="03ED832C"/>
    <w:rsid w:val="04898E2B"/>
    <w:rsid w:val="04BCC454"/>
    <w:rsid w:val="058D154D"/>
    <w:rsid w:val="06E235BF"/>
    <w:rsid w:val="075BA9C4"/>
    <w:rsid w:val="0832CF0B"/>
    <w:rsid w:val="08A7BB52"/>
    <w:rsid w:val="0948B88A"/>
    <w:rsid w:val="096BE571"/>
    <w:rsid w:val="09DC12F8"/>
    <w:rsid w:val="0BA91E37"/>
    <w:rsid w:val="0BE9ED28"/>
    <w:rsid w:val="0C0B3897"/>
    <w:rsid w:val="0C4305EE"/>
    <w:rsid w:val="0CA05F0E"/>
    <w:rsid w:val="0CADD3A5"/>
    <w:rsid w:val="0CC9790A"/>
    <w:rsid w:val="0DD43A6B"/>
    <w:rsid w:val="0E70FAAD"/>
    <w:rsid w:val="0E77EB80"/>
    <w:rsid w:val="0EA704B2"/>
    <w:rsid w:val="0F388FE7"/>
    <w:rsid w:val="10B4236B"/>
    <w:rsid w:val="10C1F3B6"/>
    <w:rsid w:val="10D6FDAC"/>
    <w:rsid w:val="130C9DC4"/>
    <w:rsid w:val="13EF0F9A"/>
    <w:rsid w:val="14267BFB"/>
    <w:rsid w:val="14C3B0FB"/>
    <w:rsid w:val="14E6F512"/>
    <w:rsid w:val="15357560"/>
    <w:rsid w:val="15665AED"/>
    <w:rsid w:val="15673C54"/>
    <w:rsid w:val="169A1279"/>
    <w:rsid w:val="170698C7"/>
    <w:rsid w:val="1709BAD7"/>
    <w:rsid w:val="1948BB01"/>
    <w:rsid w:val="1A5C85BE"/>
    <w:rsid w:val="1BC5EB40"/>
    <w:rsid w:val="1CC187C6"/>
    <w:rsid w:val="1CF4447B"/>
    <w:rsid w:val="1D5570AA"/>
    <w:rsid w:val="1D96BA53"/>
    <w:rsid w:val="1E6CC2F4"/>
    <w:rsid w:val="1F72750E"/>
    <w:rsid w:val="1FBB240C"/>
    <w:rsid w:val="1FDC8B1D"/>
    <w:rsid w:val="1FEB6D9C"/>
    <w:rsid w:val="201B2595"/>
    <w:rsid w:val="20578712"/>
    <w:rsid w:val="20A044E1"/>
    <w:rsid w:val="20BBEC7E"/>
    <w:rsid w:val="223CE3EF"/>
    <w:rsid w:val="227FBD55"/>
    <w:rsid w:val="22A9FA33"/>
    <w:rsid w:val="22CB0DCF"/>
    <w:rsid w:val="23CB129C"/>
    <w:rsid w:val="23E13C2E"/>
    <w:rsid w:val="246C5DB3"/>
    <w:rsid w:val="249CB737"/>
    <w:rsid w:val="25091289"/>
    <w:rsid w:val="25B158FF"/>
    <w:rsid w:val="25F8C799"/>
    <w:rsid w:val="2624CEC9"/>
    <w:rsid w:val="2664BA0D"/>
    <w:rsid w:val="27D8E760"/>
    <w:rsid w:val="282BF7D6"/>
    <w:rsid w:val="28B52D79"/>
    <w:rsid w:val="2B4F6E96"/>
    <w:rsid w:val="2B87E69A"/>
    <w:rsid w:val="2BA2A116"/>
    <w:rsid w:val="2C689E9C"/>
    <w:rsid w:val="2E178FB3"/>
    <w:rsid w:val="2F6A6D56"/>
    <w:rsid w:val="2F891D79"/>
    <w:rsid w:val="3076DFB2"/>
    <w:rsid w:val="3147044F"/>
    <w:rsid w:val="31C4E0BB"/>
    <w:rsid w:val="3242B0D0"/>
    <w:rsid w:val="335F8123"/>
    <w:rsid w:val="33DC9BC5"/>
    <w:rsid w:val="346CA302"/>
    <w:rsid w:val="3573AF8F"/>
    <w:rsid w:val="362C4CEB"/>
    <w:rsid w:val="363CF145"/>
    <w:rsid w:val="378E20DC"/>
    <w:rsid w:val="3859F4BA"/>
    <w:rsid w:val="38CB228F"/>
    <w:rsid w:val="3997DA7B"/>
    <w:rsid w:val="39CE1828"/>
    <w:rsid w:val="39DDA9C9"/>
    <w:rsid w:val="39E5D416"/>
    <w:rsid w:val="3A83E448"/>
    <w:rsid w:val="3B2F30EA"/>
    <w:rsid w:val="3BBF0B7C"/>
    <w:rsid w:val="3BD73F11"/>
    <w:rsid w:val="3C230778"/>
    <w:rsid w:val="3C34F40C"/>
    <w:rsid w:val="3CA2DEB2"/>
    <w:rsid w:val="3CDAAB10"/>
    <w:rsid w:val="3D641800"/>
    <w:rsid w:val="3D9BEE2D"/>
    <w:rsid w:val="3DD84D09"/>
    <w:rsid w:val="3E1A8939"/>
    <w:rsid w:val="3E413299"/>
    <w:rsid w:val="3E4EBFFF"/>
    <w:rsid w:val="3EA0F7CB"/>
    <w:rsid w:val="3ECF94D1"/>
    <w:rsid w:val="3F16ED8A"/>
    <w:rsid w:val="3F7713C9"/>
    <w:rsid w:val="3FB1E658"/>
    <w:rsid w:val="3FFAE345"/>
    <w:rsid w:val="406D5864"/>
    <w:rsid w:val="40D32B18"/>
    <w:rsid w:val="41C78F4B"/>
    <w:rsid w:val="424D24FD"/>
    <w:rsid w:val="43418335"/>
    <w:rsid w:val="434FB328"/>
    <w:rsid w:val="43B0321B"/>
    <w:rsid w:val="43F4123F"/>
    <w:rsid w:val="45568B07"/>
    <w:rsid w:val="45ACE8A7"/>
    <w:rsid w:val="4751CC6E"/>
    <w:rsid w:val="47DED845"/>
    <w:rsid w:val="48A229CB"/>
    <w:rsid w:val="4BEEDCD7"/>
    <w:rsid w:val="4D7D27BB"/>
    <w:rsid w:val="4D89B3B0"/>
    <w:rsid w:val="4DF82D7F"/>
    <w:rsid w:val="4F31D7AE"/>
    <w:rsid w:val="4F82CF36"/>
    <w:rsid w:val="4FD6DE00"/>
    <w:rsid w:val="507A81A3"/>
    <w:rsid w:val="511B61D1"/>
    <w:rsid w:val="522EAA2C"/>
    <w:rsid w:val="5368B621"/>
    <w:rsid w:val="539AA48E"/>
    <w:rsid w:val="5433520D"/>
    <w:rsid w:val="54801A9C"/>
    <w:rsid w:val="556441DC"/>
    <w:rsid w:val="55FAA4ED"/>
    <w:rsid w:val="5627B131"/>
    <w:rsid w:val="567AAA7C"/>
    <w:rsid w:val="569B9A47"/>
    <w:rsid w:val="56C1A83D"/>
    <w:rsid w:val="56F6FCEB"/>
    <w:rsid w:val="57E0131F"/>
    <w:rsid w:val="590C040F"/>
    <w:rsid w:val="59A00B95"/>
    <w:rsid w:val="59D9B4D6"/>
    <w:rsid w:val="5A28C1C0"/>
    <w:rsid w:val="5AE08360"/>
    <w:rsid w:val="5B8FC6F6"/>
    <w:rsid w:val="5C888F3D"/>
    <w:rsid w:val="5CA889F1"/>
    <w:rsid w:val="5CC230E4"/>
    <w:rsid w:val="5D2D8782"/>
    <w:rsid w:val="5D802BA1"/>
    <w:rsid w:val="5EE0DFAA"/>
    <w:rsid w:val="5F1A5F1F"/>
    <w:rsid w:val="609D788C"/>
    <w:rsid w:val="60F9C534"/>
    <w:rsid w:val="6181179F"/>
    <w:rsid w:val="61C04046"/>
    <w:rsid w:val="61EA964F"/>
    <w:rsid w:val="626767C0"/>
    <w:rsid w:val="6276A95E"/>
    <w:rsid w:val="63E39F9C"/>
    <w:rsid w:val="6658243A"/>
    <w:rsid w:val="6677CBE5"/>
    <w:rsid w:val="66A6A9B4"/>
    <w:rsid w:val="66FFA334"/>
    <w:rsid w:val="677715DA"/>
    <w:rsid w:val="68A82009"/>
    <w:rsid w:val="695D072E"/>
    <w:rsid w:val="6A3D2E6F"/>
    <w:rsid w:val="6B154DCF"/>
    <w:rsid w:val="6B7D38EB"/>
    <w:rsid w:val="6C2C070A"/>
    <w:rsid w:val="6C2CFDEA"/>
    <w:rsid w:val="6C4B0B6E"/>
    <w:rsid w:val="6C78E9A3"/>
    <w:rsid w:val="6C7F5959"/>
    <w:rsid w:val="6C8C7121"/>
    <w:rsid w:val="6C9F64AD"/>
    <w:rsid w:val="6CD363ED"/>
    <w:rsid w:val="6D7BB380"/>
    <w:rsid w:val="6E70E356"/>
    <w:rsid w:val="6E7461B5"/>
    <w:rsid w:val="6FAD0C0B"/>
    <w:rsid w:val="707A93D3"/>
    <w:rsid w:val="7152A58A"/>
    <w:rsid w:val="71D37A4B"/>
    <w:rsid w:val="72991DC2"/>
    <w:rsid w:val="72B64E85"/>
    <w:rsid w:val="73A060E3"/>
    <w:rsid w:val="73E1A754"/>
    <w:rsid w:val="744777E4"/>
    <w:rsid w:val="75A06247"/>
    <w:rsid w:val="75C91015"/>
    <w:rsid w:val="75D1DBD3"/>
    <w:rsid w:val="7722873F"/>
    <w:rsid w:val="7757A6D7"/>
    <w:rsid w:val="77724801"/>
    <w:rsid w:val="7818A975"/>
    <w:rsid w:val="78BEF5F3"/>
    <w:rsid w:val="78FCF6D3"/>
    <w:rsid w:val="799EA75E"/>
    <w:rsid w:val="7AED00A4"/>
    <w:rsid w:val="7B696DC5"/>
    <w:rsid w:val="7B7367A6"/>
    <w:rsid w:val="7BC25D99"/>
    <w:rsid w:val="7BF0200B"/>
    <w:rsid w:val="7C2EF85C"/>
    <w:rsid w:val="7C36D643"/>
    <w:rsid w:val="7D501AA7"/>
    <w:rsid w:val="7DAD5B57"/>
    <w:rsid w:val="7E773AA4"/>
    <w:rsid w:val="7EE4959F"/>
    <w:rsid w:val="7FCAD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035EE"/>
  <w15:docId w15:val="{BD1213B9-B048-49C8-9EAA-E0D12EEC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B21"/>
    <w:pPr>
      <w:suppressAutoHyphens/>
      <w:spacing w:after="0" w:line="240" w:lineRule="auto"/>
    </w:pPr>
    <w:rPr>
      <w:rFonts w:ascii="Times New Roman" w:hAnsi="Times New Roman" w:cs="Calibri"/>
      <w:sz w:val="24"/>
    </w:rPr>
  </w:style>
  <w:style w:type="paragraph" w:styleId="Heading1">
    <w:name w:val="heading 1"/>
    <w:basedOn w:val="Normal"/>
    <w:next w:val="Normal"/>
    <w:uiPriority w:val="9"/>
    <w:qFormat/>
    <w:rsid w:val="00882B21"/>
    <w:pPr>
      <w:keepNext/>
      <w:keepLines/>
      <w:spacing w:before="240"/>
      <w:outlineLvl w:val="0"/>
    </w:pPr>
    <w:rPr>
      <w:rFonts w:eastAsia="Yu Gothic Light" w:cs="Times New Roman"/>
      <w:b/>
      <w:sz w:val="28"/>
      <w:szCs w:val="32"/>
    </w:rPr>
  </w:style>
  <w:style w:type="paragraph" w:styleId="Heading2">
    <w:name w:val="heading 2"/>
    <w:basedOn w:val="Normal"/>
    <w:next w:val="Normal"/>
    <w:uiPriority w:val="9"/>
    <w:unhideWhenUsed/>
    <w:qFormat/>
    <w:pPr>
      <w:keepNext/>
      <w:keepLines/>
      <w:spacing w:before="40"/>
      <w:outlineLvl w:val="1"/>
    </w:pPr>
    <w:rPr>
      <w:rFonts w:ascii="Calibri Light" w:eastAsia="Yu Gothic Light" w:hAnsi="Calibri Light" w:cs="Times New Roman"/>
      <w:color w:val="2F5496"/>
      <w:sz w:val="26"/>
      <w:szCs w:val="26"/>
    </w:rPr>
  </w:style>
  <w:style w:type="paragraph" w:styleId="Heading3">
    <w:name w:val="heading 3"/>
    <w:basedOn w:val="Normal"/>
    <w:next w:val="Normal"/>
    <w:link w:val="Heading3Char"/>
    <w:uiPriority w:val="9"/>
    <w:unhideWhenUsed/>
    <w:qFormat/>
    <w:rsid w:val="00882B21"/>
    <w:pPr>
      <w:keepNext/>
      <w:keepLines/>
      <w:spacing w:before="40"/>
      <w:outlineLvl w:val="2"/>
    </w:pPr>
    <w:rPr>
      <w:rFonts w:eastAsiaTheme="majorEastAsia" w:cstheme="majorBidi"/>
      <w:b/>
      <w:i/>
      <w:color w:val="2F5496" w:themeColor="accent1" w:themeShade="BF"/>
      <w:szCs w:val="24"/>
    </w:rPr>
  </w:style>
  <w:style w:type="paragraph" w:styleId="Heading4">
    <w:name w:val="heading 4"/>
    <w:basedOn w:val="Normal"/>
    <w:next w:val="Normal"/>
    <w:uiPriority w:val="9"/>
    <w:semiHidden/>
    <w:unhideWhenUsed/>
    <w:qFormat/>
    <w:pPr>
      <w:keepNext/>
      <w:keepLines/>
      <w:spacing w:before="40"/>
      <w:outlineLvl w:val="3"/>
    </w:pPr>
    <w:rPr>
      <w:rFonts w:ascii="Calibri Light" w:eastAsia="Yu Gothic Light"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5"/>
      </w:numPr>
    </w:pPr>
  </w:style>
  <w:style w:type="paragraph" w:styleId="TOCHeading">
    <w:name w:val="TOC Heading"/>
    <w:basedOn w:val="Heading1"/>
    <w:next w:val="Normal"/>
  </w:style>
  <w:style w:type="paragraph" w:customStyle="1" w:styleId="Numberedquestions">
    <w:name w:val="Numbered questions"/>
    <w:basedOn w:val="Heading2"/>
    <w:pPr>
      <w:keepLines w:val="0"/>
      <w:numPr>
        <w:ilvl w:val="1"/>
        <w:numId w:val="5"/>
      </w:numPr>
      <w:spacing w:before="240" w:after="120"/>
    </w:pPr>
    <w:rPr>
      <w:rFonts w:ascii="Open Sans" w:eastAsia="Times New Roman" w:hAnsi="Open Sans"/>
      <w:b/>
      <w:bCs/>
      <w:iCs/>
      <w:color w:val="2778D1"/>
      <w:sz w:val="24"/>
      <w:szCs w:val="28"/>
    </w:rPr>
  </w:style>
  <w:style w:type="paragraph" w:styleId="ListParagraph">
    <w:name w:val="List Paragraph"/>
    <w:basedOn w:val="Normal"/>
    <w:uiPriority w:val="34"/>
    <w:qFormat/>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hAnsi="Calibri" w:cs="Calibri"/>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Calibri" w:hAnsi="Calibri" w:cs="Calibri"/>
    </w:rPr>
  </w:style>
  <w:style w:type="character" w:customStyle="1" w:styleId="NumberedquestionsChar">
    <w:name w:val="Numbered questions Char"/>
    <w:rPr>
      <w:rFonts w:ascii="Open Sans" w:eastAsia="Times New Roman" w:hAnsi="Open Sans" w:cs="Times New Roman"/>
      <w:b/>
      <w:bCs/>
      <w:iCs/>
      <w:color w:val="2778D1"/>
      <w:sz w:val="24"/>
      <w:szCs w:val="28"/>
    </w:rPr>
  </w:style>
  <w:style w:type="character" w:customStyle="1" w:styleId="Heading2Char">
    <w:name w:val="Heading 2 Char"/>
    <w:basedOn w:val="DefaultParagraphFont"/>
    <w:uiPriority w:val="9"/>
    <w:rPr>
      <w:rFonts w:ascii="Calibri Light" w:eastAsia="Yu Gothic Light" w:hAnsi="Calibri Light" w:cs="Times New Roman"/>
      <w:color w:val="2F5496"/>
      <w:sz w:val="26"/>
      <w:szCs w:val="26"/>
    </w:rPr>
  </w:style>
  <w:style w:type="character" w:styleId="Hyperlink">
    <w:name w:val="Hyperlink"/>
    <w:uiPriority w:val="99"/>
    <w:rPr>
      <w:color w:val="0563C1"/>
      <w:u w:val="single"/>
    </w:rPr>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paragraph" w:styleId="TOC1">
    <w:name w:val="toc 1"/>
    <w:basedOn w:val="Normal"/>
    <w:next w:val="Normal"/>
    <w:autoRedefine/>
    <w:uiPriority w:val="39"/>
    <w:rsid w:val="006012D3"/>
    <w:pPr>
      <w:tabs>
        <w:tab w:val="right" w:leader="dot" w:pos="9350"/>
      </w:tabs>
      <w:spacing w:before="120" w:after="240"/>
    </w:pPr>
    <w:rPr>
      <w:rFonts w:eastAsia="Yu Mincho" w:cs="Times New Roman"/>
      <w:bCs/>
      <w:noProof/>
      <w:sz w:val="22"/>
    </w:rPr>
  </w:style>
  <w:style w:type="paragraph" w:styleId="BodyText">
    <w:name w:val="Body Text"/>
    <w:basedOn w:val="Normal"/>
    <w:pPr>
      <w:widowControl w:val="0"/>
      <w:spacing w:before="120" w:after="120"/>
    </w:pPr>
    <w:rPr>
      <w:rFonts w:ascii="Open Sans" w:eastAsia="Times New Roman" w:hAnsi="Open Sans" w:cs="Times New Roman"/>
      <w:sz w:val="20"/>
      <w:szCs w:val="24"/>
    </w:rPr>
  </w:style>
  <w:style w:type="character" w:customStyle="1" w:styleId="BodyTextChar">
    <w:name w:val="Body Text Char"/>
    <w:basedOn w:val="DefaultParagraphFont"/>
    <w:rPr>
      <w:rFonts w:ascii="Open Sans" w:eastAsia="Times New Roman" w:hAnsi="Open Sans" w:cs="Times New Roman"/>
      <w:sz w:val="20"/>
      <w:szCs w:val="24"/>
    </w:rPr>
  </w:style>
  <w:style w:type="paragraph" w:styleId="PlainText">
    <w:name w:val="Plain Text"/>
    <w:basedOn w:val="Normal"/>
    <w:rPr>
      <w:rFonts w:cs="Arial"/>
      <w:szCs w:val="21"/>
    </w:rPr>
  </w:style>
  <w:style w:type="character" w:customStyle="1" w:styleId="PlainTextChar">
    <w:name w:val="Plain Text Char"/>
    <w:basedOn w:val="DefaultParagraphFont"/>
    <w:rPr>
      <w:rFonts w:ascii="Calibri" w:hAnsi="Calibri"/>
      <w:szCs w:val="21"/>
    </w:r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line="254" w:lineRule="auto"/>
      <w:ind w:left="440"/>
    </w:pPr>
    <w:rPr>
      <w:rFonts w:eastAsia="Yu Mincho" w:cs="Times New Roman"/>
    </w:rPr>
  </w:style>
  <w:style w:type="paragraph" w:styleId="NoSpacing">
    <w:name w:val="No Spacing"/>
    <w:pPr>
      <w:suppressAutoHyphens/>
      <w:spacing w:after="0" w:line="240" w:lineRule="auto"/>
    </w:pPr>
    <w:rPr>
      <w:rFonts w:ascii="Open Sans" w:hAnsi="Open Sans" w:cs="Times New Roman"/>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Calibri" w:hAnsi="Calibri" w:cs="Calibri"/>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hAnsi="Calibri" w:cs="Calibri"/>
      <w:b/>
      <w:bCs/>
      <w:sz w:val="20"/>
      <w:szCs w:val="20"/>
    </w:rPr>
  </w:style>
  <w:style w:type="character" w:customStyle="1" w:styleId="Heading4Char">
    <w:name w:val="Heading 4 Char"/>
    <w:basedOn w:val="DefaultParagraphFont"/>
    <w:rPr>
      <w:rFonts w:ascii="Calibri Light" w:eastAsia="Yu Gothic Light" w:hAnsi="Calibri Light" w:cs="Times New Roman"/>
      <w:i/>
      <w:iCs/>
      <w:color w:val="2F5496"/>
    </w:rPr>
  </w:style>
  <w:style w:type="paragraph" w:styleId="FootnoteText">
    <w:name w:val="footnote text"/>
    <w:aliases w:val="ALTS FOOTNOT,Footnote Text Char Char,Footnote Text Char Char Char Char,Footnote Text Char Char Char Char Char1 Char,Footnote Text Char1,Footnote Text Char1 Char Char,Footnote Text Char1 Char Char Char1 Char,Footnote Text Char1 Char2,f,fn"/>
    <w:basedOn w:val="Normal"/>
    <w:qFormat/>
    <w:rPr>
      <w:sz w:val="20"/>
      <w:szCs w:val="20"/>
    </w:rPr>
  </w:style>
  <w:style w:type="character" w:customStyle="1" w:styleId="FootnoteTextChar">
    <w:name w:val="Footnote Text Char"/>
    <w:aliases w:val="ALTS FOOTNOT Char,Footnote Text Char Char Char,Footnote Text Char Char Char Char Char,Footnote Text Char Char Char Char Char1 Char Char,Footnote Text Char1 Char,Footnote Text Char1 Char Char Char,Footnote Text Char1 Char2 Char,f Char"/>
    <w:basedOn w:val="DefaultParagraphFont"/>
    <w:rPr>
      <w:rFonts w:ascii="Calibri" w:hAnsi="Calibri" w:cs="Calibri"/>
      <w:sz w:val="20"/>
      <w:szCs w:val="20"/>
    </w:r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A"/>
    <w:basedOn w:val="DefaultParagraphFont"/>
    <w:qFormat/>
    <w:rPr>
      <w:position w:val="0"/>
      <w:vertAlign w:val="superscript"/>
    </w:rPr>
  </w:style>
  <w:style w:type="paragraph" w:styleId="Revision">
    <w:name w:val="Revision"/>
    <w:pPr>
      <w:suppressAutoHyphens/>
      <w:spacing w:after="0" w:line="240" w:lineRule="auto"/>
    </w:pPr>
    <w:rPr>
      <w:rFonts w:cs="Calibri"/>
    </w:rPr>
  </w:style>
  <w:style w:type="character" w:customStyle="1" w:styleId="UnresolvedMention1">
    <w:name w:val="Unresolved Mention1"/>
    <w:basedOn w:val="DefaultParagraphFont"/>
    <w:rPr>
      <w:color w:val="605E5C"/>
      <w:shd w:val="clear" w:color="auto" w:fill="E1DFDD"/>
    </w:rPr>
  </w:style>
  <w:style w:type="paragraph" w:customStyle="1" w:styleId="ParaNum">
    <w:name w:val="ParaNum"/>
    <w:basedOn w:val="Normal"/>
    <w:pPr>
      <w:widowControl w:val="0"/>
      <w:numPr>
        <w:numId w:val="7"/>
      </w:numPr>
      <w:spacing w:after="120"/>
    </w:pPr>
    <w:rPr>
      <w:rFonts w:eastAsia="Times New Roman" w:cs="Times New Roman"/>
      <w:kern w:val="3"/>
      <w:szCs w:val="20"/>
    </w:rPr>
  </w:style>
  <w:style w:type="character" w:customStyle="1" w:styleId="ParaNumChar">
    <w:name w:val="ParaNum Char"/>
    <w:rPr>
      <w:rFonts w:ascii="Times New Roman" w:eastAsia="Times New Roman" w:hAnsi="Times New Roman" w:cs="Times New Roman"/>
      <w:kern w:val="3"/>
      <w:szCs w:val="20"/>
    </w:rPr>
  </w:style>
  <w:style w:type="character" w:customStyle="1" w:styleId="Heading3Char">
    <w:name w:val="Heading 3 Char"/>
    <w:basedOn w:val="DefaultParagraphFont"/>
    <w:link w:val="Heading3"/>
    <w:uiPriority w:val="9"/>
    <w:rsid w:val="00882B21"/>
    <w:rPr>
      <w:rFonts w:ascii="Times New Roman" w:eastAsiaTheme="majorEastAsia" w:hAnsi="Times New Roman" w:cstheme="majorBidi"/>
      <w:b/>
      <w:i/>
      <w:color w:val="2F5496" w:themeColor="accent1" w:themeShade="BF"/>
      <w:sz w:val="24"/>
      <w:szCs w:val="24"/>
    </w:rPr>
  </w:style>
  <w:style w:type="character" w:styleId="UnresolvedMention">
    <w:name w:val="Unresolved Mention"/>
    <w:basedOn w:val="DefaultParagraphFont"/>
    <w:uiPriority w:val="99"/>
    <w:semiHidden/>
    <w:unhideWhenUsed/>
    <w:rsid w:val="001B4F3C"/>
    <w:rPr>
      <w:color w:val="605E5C"/>
      <w:shd w:val="clear" w:color="auto" w:fill="E1DFDD"/>
    </w:rPr>
  </w:style>
  <w:style w:type="numbering" w:customStyle="1" w:styleId="WWOutlineListStyle">
    <w:name w:val="WW_OutlineListStyle"/>
    <w:basedOn w:val="NoList"/>
    <w:pPr>
      <w:numPr>
        <w:numId w:val="6"/>
      </w:numPr>
    </w:pPr>
  </w:style>
  <w:style w:type="numbering" w:customStyle="1" w:styleId="LFO31">
    <w:name w:val="LFO31"/>
    <w:basedOn w:val="NoList"/>
    <w:pPr>
      <w:numPr>
        <w:numId w:val="7"/>
      </w:numPr>
    </w:pPr>
  </w:style>
  <w:style w:type="paragraph" w:styleId="Title">
    <w:name w:val="Title"/>
    <w:basedOn w:val="Normal"/>
    <w:next w:val="Normal"/>
    <w:link w:val="TitleChar"/>
    <w:uiPriority w:val="10"/>
    <w:qFormat/>
    <w:rsid w:val="00882B21"/>
    <w:pPr>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882B21"/>
    <w:rPr>
      <w:rFonts w:ascii="Times New Roman" w:eastAsiaTheme="majorEastAsia" w:hAnsi="Times New Roman" w:cstheme="majorBidi"/>
      <w:b/>
      <w:spacing w:val="-10"/>
      <w:kern w:val="28"/>
      <w:sz w:val="28"/>
      <w:szCs w:val="56"/>
    </w:rPr>
  </w:style>
  <w:style w:type="character" w:customStyle="1" w:styleId="normaltextrun">
    <w:name w:val="normaltextrun"/>
    <w:basedOn w:val="DefaultParagraphFont"/>
    <w:rsid w:val="0095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423876">
      <w:bodyDiv w:val="1"/>
      <w:marLeft w:val="0"/>
      <w:marRight w:val="0"/>
      <w:marTop w:val="0"/>
      <w:marBottom w:val="0"/>
      <w:divBdr>
        <w:top w:val="none" w:sz="0" w:space="0" w:color="auto"/>
        <w:left w:val="none" w:sz="0" w:space="0" w:color="auto"/>
        <w:bottom w:val="none" w:sz="0" w:space="0" w:color="auto"/>
        <w:right w:val="none" w:sz="0" w:space="0" w:color="auto"/>
      </w:divBdr>
    </w:div>
    <w:div w:id="1896503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cc.gov/licensing-databases/fcc-registration-commission-registration-system" TargetMode="External"/><Relationship Id="rId18" Type="http://schemas.openxmlformats.org/officeDocument/2006/relationships/hyperlink" Target="mailto:reimburse@fcc.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gsa.gov/travel/plan-book/per-diem-rates" TargetMode="External"/><Relationship Id="rId17" Type="http://schemas.openxmlformats.org/officeDocument/2006/relationships/hyperlink" Target="mailto:fccfundadmin@fcc.gov" TargetMode="External"/><Relationship Id="rId25" Type="http://schemas.openxmlformats.org/officeDocument/2006/relationships/hyperlink" Target="mailto:reimburse@fcc.gov" TargetMode="External"/><Relationship Id="rId2" Type="http://schemas.openxmlformats.org/officeDocument/2006/relationships/customXml" Target="../customXml/item2.xml"/><Relationship Id="rId16" Type="http://schemas.openxmlformats.org/officeDocument/2006/relationships/hyperlink" Target="mailto:fccfundadmin@fcc.gov" TargetMode="External"/><Relationship Id="rId20" Type="http://schemas.openxmlformats.org/officeDocument/2006/relationships/hyperlink" Target="https://enterpriseefiling.fcc.gov/dataentry/public/tv/publicAppSearch.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RESHelpDesk@FCC.gov" TargetMode="External"/><Relationship Id="rId24" Type="http://schemas.openxmlformats.org/officeDocument/2006/relationships/hyperlink" Target="http://www.fcc.gov/incentiveauctions/reimbursement" TargetMode="External"/><Relationship Id="rId5" Type="http://schemas.openxmlformats.org/officeDocument/2006/relationships/numbering" Target="numbering.xml"/><Relationship Id="rId15" Type="http://schemas.openxmlformats.org/officeDocument/2006/relationships/hyperlink" Target="mailto:FCCFundAdmin@fcc.gov" TargetMode="External"/><Relationship Id="rId23" Type="http://schemas.openxmlformats.org/officeDocument/2006/relationships/hyperlink" Target="mailto:reimburse@fcc.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imburse@fc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CCFundadmin@fcc.gov" TargetMode="External"/><Relationship Id="rId22" Type="http://schemas.openxmlformats.org/officeDocument/2006/relationships/hyperlink" Target="mailto:reimburse@fcc.go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4587EBD0C9754E9445D1BACD70B546" ma:contentTypeVersion="8" ma:contentTypeDescription="Create a new document." ma:contentTypeScope="" ma:versionID="20da1c7c23bac5fe532502867425a9f6">
  <xsd:schema xmlns:xsd="http://www.w3.org/2001/XMLSchema" xmlns:xs="http://www.w3.org/2001/XMLSchema" xmlns:p="http://schemas.microsoft.com/office/2006/metadata/properties" xmlns:ns2="97492261-66f0-4a5d-ba56-92d4ed4e25bf" xmlns:ns3="c2ee8434-0920-4960-8d38-c7f64b980e58" targetNamespace="http://schemas.microsoft.com/office/2006/metadata/properties" ma:root="true" ma:fieldsID="5bedbbcaa01d32344f3f9748c140968f" ns2:_="" ns3:_="">
    <xsd:import namespace="97492261-66f0-4a5d-ba56-92d4ed4e25bf"/>
    <xsd:import namespace="c2ee8434-0920-4960-8d38-c7f64b980e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92261-66f0-4a5d-ba56-92d4ed4e2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ee8434-0920-4960-8d38-c7f64b980e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31415-8344-43EF-A911-4B23A477F654}">
  <ds:schemaRefs>
    <ds:schemaRef ds:uri="http://schemas.openxmlformats.org/officeDocument/2006/bibliography"/>
  </ds:schemaRefs>
</ds:datastoreItem>
</file>

<file path=customXml/itemProps2.xml><?xml version="1.0" encoding="utf-8"?>
<ds:datastoreItem xmlns:ds="http://schemas.openxmlformats.org/officeDocument/2006/customXml" ds:itemID="{5CC83E18-58A2-45D8-B884-E9749D430D06}">
  <ds:schemaRefs>
    <ds:schemaRef ds:uri="http://schemas.microsoft.com/sharepoint/v3/contenttype/forms"/>
  </ds:schemaRefs>
</ds:datastoreItem>
</file>

<file path=customXml/itemProps3.xml><?xml version="1.0" encoding="utf-8"?>
<ds:datastoreItem xmlns:ds="http://schemas.openxmlformats.org/officeDocument/2006/customXml" ds:itemID="{FCB0AC20-42F5-4767-B5D9-2EBF898BA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92261-66f0-4a5d-ba56-92d4ed4e25bf"/>
    <ds:schemaRef ds:uri="c2ee8434-0920-4960-8d38-c7f64b98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DBD8B-8D5C-44B7-8A64-182FF1F40FA2}">
  <ds:schemaRefs>
    <ds:schemaRef ds:uri="http://schemas.microsoft.com/office/2006/metadata/properties"/>
    <ds:schemaRef ds:uri="http://schemas.microsoft.com/office/infopath/2007/PartnerControls"/>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157948</vt:lpwstr>
  </property>
  <property fmtid="{D5CDD505-2E9C-101B-9397-08002B2CF9AE}" pid="4" name="OptimizationTime">
    <vt:lpwstr>20230127_1444</vt:lpwstr>
  </property>
</Properties>
</file>

<file path=docProps/app.xml><?xml version="1.0" encoding="utf-8"?>
<Properties xmlns="http://schemas.openxmlformats.org/officeDocument/2006/extended-properties" xmlns:vt="http://schemas.openxmlformats.org/officeDocument/2006/docPropsVTypes">
  <Template>Normal.dotm</Template>
  <TotalTime>24</TotalTime>
  <Pages>22</Pages>
  <Words>8647</Words>
  <Characters>49290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57822</CharactersWithSpaces>
  <SharedDoc>false</SharedDoc>
  <HLinks>
    <vt:vector size="132" baseType="variant">
      <vt:variant>
        <vt:i4>1572902</vt:i4>
      </vt:variant>
      <vt:variant>
        <vt:i4>87</vt:i4>
      </vt:variant>
      <vt:variant>
        <vt:i4>0</vt:i4>
      </vt:variant>
      <vt:variant>
        <vt:i4>5</vt:i4>
      </vt:variant>
      <vt:variant>
        <vt:lpwstr>mailto:reimburse@fcc.gov</vt:lpwstr>
      </vt:variant>
      <vt:variant>
        <vt:lpwstr/>
      </vt:variant>
      <vt:variant>
        <vt:i4>3473523</vt:i4>
      </vt:variant>
      <vt:variant>
        <vt:i4>84</vt:i4>
      </vt:variant>
      <vt:variant>
        <vt:i4>0</vt:i4>
      </vt:variant>
      <vt:variant>
        <vt:i4>5</vt:i4>
      </vt:variant>
      <vt:variant>
        <vt:lpwstr>http://www.fcc.gov/incentiveauctions/reimbursement</vt:lpwstr>
      </vt:variant>
      <vt:variant>
        <vt:lpwstr/>
      </vt:variant>
      <vt:variant>
        <vt:i4>1572902</vt:i4>
      </vt:variant>
      <vt:variant>
        <vt:i4>81</vt:i4>
      </vt:variant>
      <vt:variant>
        <vt:i4>0</vt:i4>
      </vt:variant>
      <vt:variant>
        <vt:i4>5</vt:i4>
      </vt:variant>
      <vt:variant>
        <vt:lpwstr>mailto:reimburse@fcc.gov</vt:lpwstr>
      </vt:variant>
      <vt:variant>
        <vt:lpwstr/>
      </vt:variant>
      <vt:variant>
        <vt:i4>1572902</vt:i4>
      </vt:variant>
      <vt:variant>
        <vt:i4>78</vt:i4>
      </vt:variant>
      <vt:variant>
        <vt:i4>0</vt:i4>
      </vt:variant>
      <vt:variant>
        <vt:i4>5</vt:i4>
      </vt:variant>
      <vt:variant>
        <vt:lpwstr>mailto:reimburse@fcc.gov</vt:lpwstr>
      </vt:variant>
      <vt:variant>
        <vt:lpwstr/>
      </vt:variant>
      <vt:variant>
        <vt:i4>8257662</vt:i4>
      </vt:variant>
      <vt:variant>
        <vt:i4>75</vt:i4>
      </vt:variant>
      <vt:variant>
        <vt:i4>0</vt:i4>
      </vt:variant>
      <vt:variant>
        <vt:i4>5</vt:i4>
      </vt:variant>
      <vt:variant>
        <vt:lpwstr>https://enterpriseefiling.fcc.gov/dataentry/public/tv/publicAppSearch.html</vt:lpwstr>
      </vt:variant>
      <vt:variant>
        <vt:lpwstr/>
      </vt:variant>
      <vt:variant>
        <vt:i4>1572902</vt:i4>
      </vt:variant>
      <vt:variant>
        <vt:i4>72</vt:i4>
      </vt:variant>
      <vt:variant>
        <vt:i4>0</vt:i4>
      </vt:variant>
      <vt:variant>
        <vt:i4>5</vt:i4>
      </vt:variant>
      <vt:variant>
        <vt:lpwstr>mailto:reimburse@fcc.gov</vt:lpwstr>
      </vt:variant>
      <vt:variant>
        <vt:lpwstr/>
      </vt:variant>
      <vt:variant>
        <vt:i4>1572902</vt:i4>
      </vt:variant>
      <vt:variant>
        <vt:i4>69</vt:i4>
      </vt:variant>
      <vt:variant>
        <vt:i4>0</vt:i4>
      </vt:variant>
      <vt:variant>
        <vt:i4>5</vt:i4>
      </vt:variant>
      <vt:variant>
        <vt:lpwstr>mailto:reimburse@fcc.gov</vt:lpwstr>
      </vt:variant>
      <vt:variant>
        <vt:lpwstr/>
      </vt:variant>
      <vt:variant>
        <vt:i4>1441841</vt:i4>
      </vt:variant>
      <vt:variant>
        <vt:i4>66</vt:i4>
      </vt:variant>
      <vt:variant>
        <vt:i4>0</vt:i4>
      </vt:variant>
      <vt:variant>
        <vt:i4>5</vt:i4>
      </vt:variant>
      <vt:variant>
        <vt:lpwstr/>
      </vt:variant>
      <vt:variant>
        <vt:lpwstr>_Toc506216356</vt:lpwstr>
      </vt:variant>
      <vt:variant>
        <vt:i4>1638433</vt:i4>
      </vt:variant>
      <vt:variant>
        <vt:i4>63</vt:i4>
      </vt:variant>
      <vt:variant>
        <vt:i4>0</vt:i4>
      </vt:variant>
      <vt:variant>
        <vt:i4>5</vt:i4>
      </vt:variant>
      <vt:variant>
        <vt:lpwstr>mailto:fccfundadmin@fcc.gov</vt:lpwstr>
      </vt:variant>
      <vt:variant>
        <vt:lpwstr/>
      </vt:variant>
      <vt:variant>
        <vt:i4>1638433</vt:i4>
      </vt:variant>
      <vt:variant>
        <vt:i4>60</vt:i4>
      </vt:variant>
      <vt:variant>
        <vt:i4>0</vt:i4>
      </vt:variant>
      <vt:variant>
        <vt:i4>5</vt:i4>
      </vt:variant>
      <vt:variant>
        <vt:lpwstr>mailto:fccfundadmin@fcc.gov</vt:lpwstr>
      </vt:variant>
      <vt:variant>
        <vt:lpwstr/>
      </vt:variant>
      <vt:variant>
        <vt:i4>1638433</vt:i4>
      </vt:variant>
      <vt:variant>
        <vt:i4>57</vt:i4>
      </vt:variant>
      <vt:variant>
        <vt:i4>0</vt:i4>
      </vt:variant>
      <vt:variant>
        <vt:i4>5</vt:i4>
      </vt:variant>
      <vt:variant>
        <vt:lpwstr>mailto:FCCFundAdmin@fcc.gov</vt:lpwstr>
      </vt:variant>
      <vt:variant>
        <vt:lpwstr/>
      </vt:variant>
      <vt:variant>
        <vt:i4>1638433</vt:i4>
      </vt:variant>
      <vt:variant>
        <vt:i4>54</vt:i4>
      </vt:variant>
      <vt:variant>
        <vt:i4>0</vt:i4>
      </vt:variant>
      <vt:variant>
        <vt:i4>5</vt:i4>
      </vt:variant>
      <vt:variant>
        <vt:lpwstr>mailto:FCCFundadmin@fcc.gov</vt:lpwstr>
      </vt:variant>
      <vt:variant>
        <vt:lpwstr/>
      </vt:variant>
      <vt:variant>
        <vt:i4>3080247</vt:i4>
      </vt:variant>
      <vt:variant>
        <vt:i4>51</vt:i4>
      </vt:variant>
      <vt:variant>
        <vt:i4>0</vt:i4>
      </vt:variant>
      <vt:variant>
        <vt:i4>5</vt:i4>
      </vt:variant>
      <vt:variant>
        <vt:lpwstr>https://www.fcc.gov/licensing-databases/fcc-registration-commission-registration-system</vt:lpwstr>
      </vt:variant>
      <vt:variant>
        <vt:lpwstr/>
      </vt:variant>
      <vt:variant>
        <vt:i4>3080290</vt:i4>
      </vt:variant>
      <vt:variant>
        <vt:i4>48</vt:i4>
      </vt:variant>
      <vt:variant>
        <vt:i4>0</vt:i4>
      </vt:variant>
      <vt:variant>
        <vt:i4>5</vt:i4>
      </vt:variant>
      <vt:variant>
        <vt:lpwstr>https://www.gsa.gov/travel/plan-book/per-diem-rates</vt:lpwstr>
      </vt:variant>
      <vt:variant>
        <vt:lpwstr/>
      </vt:variant>
      <vt:variant>
        <vt:i4>983089</vt:i4>
      </vt:variant>
      <vt:variant>
        <vt:i4>45</vt:i4>
      </vt:variant>
      <vt:variant>
        <vt:i4>0</vt:i4>
      </vt:variant>
      <vt:variant>
        <vt:i4>5</vt:i4>
      </vt:variant>
      <vt:variant>
        <vt:lpwstr>mailto:CORESHelpDesk@FCC.gov</vt:lpwstr>
      </vt:variant>
      <vt:variant>
        <vt:lpwstr/>
      </vt:variant>
      <vt:variant>
        <vt:i4>1572921</vt:i4>
      </vt:variant>
      <vt:variant>
        <vt:i4>38</vt:i4>
      </vt:variant>
      <vt:variant>
        <vt:i4>0</vt:i4>
      </vt:variant>
      <vt:variant>
        <vt:i4>5</vt:i4>
      </vt:variant>
      <vt:variant>
        <vt:lpwstr/>
      </vt:variant>
      <vt:variant>
        <vt:lpwstr>_Toc38456183</vt:lpwstr>
      </vt:variant>
      <vt:variant>
        <vt:i4>1638457</vt:i4>
      </vt:variant>
      <vt:variant>
        <vt:i4>32</vt:i4>
      </vt:variant>
      <vt:variant>
        <vt:i4>0</vt:i4>
      </vt:variant>
      <vt:variant>
        <vt:i4>5</vt:i4>
      </vt:variant>
      <vt:variant>
        <vt:lpwstr/>
      </vt:variant>
      <vt:variant>
        <vt:lpwstr>_Toc38456182</vt:lpwstr>
      </vt:variant>
      <vt:variant>
        <vt:i4>1703993</vt:i4>
      </vt:variant>
      <vt:variant>
        <vt:i4>26</vt:i4>
      </vt:variant>
      <vt:variant>
        <vt:i4>0</vt:i4>
      </vt:variant>
      <vt:variant>
        <vt:i4>5</vt:i4>
      </vt:variant>
      <vt:variant>
        <vt:lpwstr/>
      </vt:variant>
      <vt:variant>
        <vt:lpwstr>_Toc38456181</vt:lpwstr>
      </vt:variant>
      <vt:variant>
        <vt:i4>1769529</vt:i4>
      </vt:variant>
      <vt:variant>
        <vt:i4>20</vt:i4>
      </vt:variant>
      <vt:variant>
        <vt:i4>0</vt:i4>
      </vt:variant>
      <vt:variant>
        <vt:i4>5</vt:i4>
      </vt:variant>
      <vt:variant>
        <vt:lpwstr/>
      </vt:variant>
      <vt:variant>
        <vt:lpwstr>_Toc38456180</vt:lpwstr>
      </vt:variant>
      <vt:variant>
        <vt:i4>1179702</vt:i4>
      </vt:variant>
      <vt:variant>
        <vt:i4>14</vt:i4>
      </vt:variant>
      <vt:variant>
        <vt:i4>0</vt:i4>
      </vt:variant>
      <vt:variant>
        <vt:i4>5</vt:i4>
      </vt:variant>
      <vt:variant>
        <vt:lpwstr/>
      </vt:variant>
      <vt:variant>
        <vt:lpwstr>_Toc38456179</vt:lpwstr>
      </vt:variant>
      <vt:variant>
        <vt:i4>1245238</vt:i4>
      </vt:variant>
      <vt:variant>
        <vt:i4>8</vt:i4>
      </vt:variant>
      <vt:variant>
        <vt:i4>0</vt:i4>
      </vt:variant>
      <vt:variant>
        <vt:i4>5</vt:i4>
      </vt:variant>
      <vt:variant>
        <vt:lpwstr/>
      </vt:variant>
      <vt:variant>
        <vt:lpwstr>_Toc38456178</vt:lpwstr>
      </vt:variant>
      <vt:variant>
        <vt:i4>1835062</vt:i4>
      </vt:variant>
      <vt:variant>
        <vt:i4>2</vt:i4>
      </vt:variant>
      <vt:variant>
        <vt:i4>0</vt:i4>
      </vt:variant>
      <vt:variant>
        <vt:i4>5</vt:i4>
      </vt:variant>
      <vt:variant>
        <vt:lpwstr/>
      </vt:variant>
      <vt:variant>
        <vt:lpwstr>_Toc38456177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Jermaine R Elliott</dc:creator>
  <cp:keywords/>
  <dc:description/>
  <cp:lastModifiedBy>Paige E Taylor</cp:lastModifiedBy>
  <cp:revision>9</cp:revision>
  <cp:lastPrinted>2023-01-27T19:34:00Z</cp:lastPrinted>
  <dcterms:created xsi:type="dcterms:W3CDTF">2023-01-27T18:43:00Z</dcterms:created>
  <dcterms:modified xsi:type="dcterms:W3CDTF">2023-01-27T19:35:00Z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0x010100A54587EBD0C9754E9445D1BACD70B546</vt:lpwstr>
  </property>
</Properties>
</file>