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3878C" w14:textId="29833DCF" w:rsidR="003C089A" w:rsidRDefault="005B7E50">
      <w:pPr>
        <w:pStyle w:val="BodyText"/>
        <w:ind w:left="4015"/>
        <w:rPr>
          <w:sz w:val="20"/>
        </w:rPr>
      </w:pPr>
      <w:r>
        <w:rPr>
          <w:noProof/>
          <w:sz w:val="20"/>
        </w:rPr>
        <w:drawing>
          <wp:inline distT="0" distB="0" distL="0" distR="0" wp14:anchorId="258B8991" wp14:editId="05F9AC7A">
            <wp:extent cx="951839" cy="952500"/>
            <wp:effectExtent l="0" t="0" r="0" b="0"/>
            <wp:docPr id="1" name="image1.png" descr="Intergovernmental Advisory Committee logo - I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governmental Advisory Committee logo - IAC"/>
                    <pic:cNvPicPr/>
                  </pic:nvPicPr>
                  <pic:blipFill>
                    <a:blip r:embed="rId11" cstate="print"/>
                    <a:stretch>
                      <a:fillRect/>
                    </a:stretch>
                  </pic:blipFill>
                  <pic:spPr>
                    <a:xfrm>
                      <a:off x="0" y="0"/>
                      <a:ext cx="951839" cy="952500"/>
                    </a:xfrm>
                    <a:prstGeom prst="rect">
                      <a:avLst/>
                    </a:prstGeom>
                  </pic:spPr>
                </pic:pic>
              </a:graphicData>
            </a:graphic>
          </wp:inline>
        </w:drawing>
      </w:r>
    </w:p>
    <w:p w14:paraId="24E3C001" w14:textId="77777777" w:rsidR="003C089A" w:rsidRDefault="003C089A">
      <w:pPr>
        <w:pStyle w:val="BodyText"/>
        <w:spacing w:before="5"/>
        <w:ind w:left="0"/>
        <w:rPr>
          <w:sz w:val="20"/>
        </w:rPr>
      </w:pPr>
    </w:p>
    <w:p w14:paraId="5049BE67" w14:textId="77777777" w:rsidR="003C089A" w:rsidRDefault="005B7E50">
      <w:pPr>
        <w:spacing w:before="91"/>
        <w:ind w:left="1602" w:right="2291"/>
        <w:jc w:val="center"/>
        <w:rPr>
          <w:b/>
        </w:rPr>
      </w:pPr>
      <w:r>
        <w:rPr>
          <w:b/>
        </w:rPr>
        <w:t>INTERGOVERNMENTAL</w:t>
      </w:r>
      <w:r>
        <w:rPr>
          <w:b/>
          <w:spacing w:val="-5"/>
        </w:rPr>
        <w:t xml:space="preserve"> </w:t>
      </w:r>
      <w:r>
        <w:rPr>
          <w:b/>
        </w:rPr>
        <w:t>ADVISORY</w:t>
      </w:r>
      <w:r>
        <w:rPr>
          <w:b/>
          <w:spacing w:val="-4"/>
        </w:rPr>
        <w:t xml:space="preserve"> </w:t>
      </w:r>
      <w:r>
        <w:rPr>
          <w:b/>
        </w:rPr>
        <w:t>COMMITTEE</w:t>
      </w:r>
    </w:p>
    <w:p w14:paraId="381A5FAB" w14:textId="77777777" w:rsidR="003C089A" w:rsidRDefault="003C089A">
      <w:pPr>
        <w:pStyle w:val="BodyText"/>
        <w:ind w:left="0"/>
        <w:rPr>
          <w:b/>
        </w:rPr>
      </w:pPr>
    </w:p>
    <w:p w14:paraId="66D4EC53" w14:textId="77777777" w:rsidR="003C089A" w:rsidRDefault="005B7E50">
      <w:pPr>
        <w:ind w:left="2144" w:right="2830"/>
        <w:jc w:val="center"/>
        <w:rPr>
          <w:b/>
        </w:rPr>
      </w:pPr>
      <w:r>
        <w:rPr>
          <w:b/>
        </w:rPr>
        <w:t>to</w:t>
      </w:r>
      <w:r>
        <w:rPr>
          <w:b/>
          <w:spacing w:val="-1"/>
        </w:rPr>
        <w:t xml:space="preserve"> </w:t>
      </w:r>
      <w:r>
        <w:rPr>
          <w:b/>
        </w:rPr>
        <w:t>the</w:t>
      </w:r>
    </w:p>
    <w:p w14:paraId="117B17C1" w14:textId="77777777" w:rsidR="003C089A" w:rsidRDefault="003C089A">
      <w:pPr>
        <w:pStyle w:val="BodyText"/>
        <w:ind w:left="0"/>
        <w:rPr>
          <w:b/>
        </w:rPr>
      </w:pPr>
    </w:p>
    <w:p w14:paraId="78ECB2CE" w14:textId="77777777" w:rsidR="00266585" w:rsidRDefault="005B7E50">
      <w:pPr>
        <w:spacing w:line="480" w:lineRule="auto"/>
        <w:ind w:left="2144" w:right="2832"/>
        <w:jc w:val="center"/>
        <w:rPr>
          <w:b/>
        </w:rPr>
      </w:pPr>
      <w:r>
        <w:rPr>
          <w:b/>
        </w:rPr>
        <w:t>FEDERAL</w:t>
      </w:r>
      <w:r>
        <w:rPr>
          <w:b/>
          <w:spacing w:val="-9"/>
        </w:rPr>
        <w:t xml:space="preserve"> </w:t>
      </w:r>
      <w:r>
        <w:rPr>
          <w:b/>
        </w:rPr>
        <w:t>COMMUNICATIONS</w:t>
      </w:r>
      <w:r>
        <w:rPr>
          <w:b/>
          <w:spacing w:val="-8"/>
        </w:rPr>
        <w:t xml:space="preserve"> </w:t>
      </w:r>
      <w:r>
        <w:rPr>
          <w:b/>
        </w:rPr>
        <w:t>COMMISSION</w:t>
      </w:r>
    </w:p>
    <w:p w14:paraId="3A4AF44C" w14:textId="665F8135" w:rsidR="003C089A" w:rsidRDefault="005B7E50">
      <w:pPr>
        <w:spacing w:line="480" w:lineRule="auto"/>
        <w:ind w:left="2144" w:right="2832"/>
        <w:jc w:val="center"/>
        <w:rPr>
          <w:b/>
        </w:rPr>
      </w:pPr>
      <w:r>
        <w:rPr>
          <w:b/>
        </w:rPr>
        <w:t>ADVISORY</w:t>
      </w:r>
      <w:r>
        <w:rPr>
          <w:b/>
          <w:spacing w:val="-1"/>
        </w:rPr>
        <w:t xml:space="preserve"> </w:t>
      </w:r>
      <w:r>
        <w:rPr>
          <w:b/>
        </w:rPr>
        <w:t>RECOMMENDATION</w:t>
      </w:r>
      <w:r>
        <w:rPr>
          <w:b/>
          <w:spacing w:val="-1"/>
        </w:rPr>
        <w:t xml:space="preserve"> </w:t>
      </w:r>
      <w:r>
        <w:rPr>
          <w:b/>
        </w:rPr>
        <w:t>No:</w:t>
      </w:r>
      <w:r>
        <w:rPr>
          <w:b/>
          <w:spacing w:val="-1"/>
        </w:rPr>
        <w:t xml:space="preserve"> </w:t>
      </w:r>
      <w:r w:rsidR="00102934">
        <w:rPr>
          <w:b/>
        </w:rPr>
        <w:t>2022-</w:t>
      </w:r>
      <w:r w:rsidR="00B25D3C">
        <w:rPr>
          <w:b/>
        </w:rPr>
        <w:t>1</w:t>
      </w:r>
    </w:p>
    <w:p w14:paraId="688ACF63" w14:textId="514A8DE8" w:rsidR="003C089A" w:rsidRDefault="005B7E50">
      <w:pPr>
        <w:ind w:left="1603" w:right="2291"/>
        <w:jc w:val="center"/>
        <w:rPr>
          <w:b/>
        </w:rPr>
      </w:pPr>
      <w:r>
        <w:rPr>
          <w:b/>
        </w:rPr>
        <w:t>In the Matter of State, Local</w:t>
      </w:r>
      <w:r w:rsidR="00907FC4">
        <w:rPr>
          <w:b/>
        </w:rPr>
        <w:t>,</w:t>
      </w:r>
      <w:r>
        <w:rPr>
          <w:b/>
        </w:rPr>
        <w:t xml:space="preserve"> Tribal, and Territorial</w:t>
      </w:r>
      <w:r>
        <w:rPr>
          <w:b/>
          <w:spacing w:val="1"/>
        </w:rPr>
        <w:t xml:space="preserve"> </w:t>
      </w:r>
      <w:r>
        <w:rPr>
          <w:b/>
        </w:rPr>
        <w:t>Regulatory</w:t>
      </w:r>
      <w:r>
        <w:rPr>
          <w:b/>
          <w:spacing w:val="-2"/>
        </w:rPr>
        <w:t xml:space="preserve"> </w:t>
      </w:r>
      <w:r>
        <w:rPr>
          <w:b/>
        </w:rPr>
        <w:t>and</w:t>
      </w:r>
      <w:r>
        <w:rPr>
          <w:b/>
          <w:spacing w:val="-3"/>
        </w:rPr>
        <w:t xml:space="preserve"> </w:t>
      </w:r>
      <w:r>
        <w:rPr>
          <w:b/>
        </w:rPr>
        <w:t>Other</w:t>
      </w:r>
      <w:r>
        <w:rPr>
          <w:b/>
          <w:spacing w:val="-3"/>
        </w:rPr>
        <w:t xml:space="preserve"> </w:t>
      </w:r>
      <w:r>
        <w:rPr>
          <w:b/>
        </w:rPr>
        <w:t>Barriers</w:t>
      </w:r>
      <w:r>
        <w:rPr>
          <w:b/>
          <w:spacing w:val="-2"/>
        </w:rPr>
        <w:t xml:space="preserve"> </w:t>
      </w:r>
      <w:r>
        <w:rPr>
          <w:b/>
        </w:rPr>
        <w:t>and</w:t>
      </w:r>
      <w:r>
        <w:rPr>
          <w:b/>
          <w:spacing w:val="-3"/>
        </w:rPr>
        <w:t xml:space="preserve"> </w:t>
      </w:r>
      <w:r>
        <w:rPr>
          <w:b/>
        </w:rPr>
        <w:t>Incentives</w:t>
      </w:r>
      <w:r>
        <w:rPr>
          <w:b/>
          <w:spacing w:val="-3"/>
        </w:rPr>
        <w:t xml:space="preserve"> </w:t>
      </w:r>
      <w:r>
        <w:rPr>
          <w:b/>
        </w:rPr>
        <w:t>to</w:t>
      </w:r>
      <w:r>
        <w:rPr>
          <w:b/>
          <w:spacing w:val="-2"/>
        </w:rPr>
        <w:t xml:space="preserve"> </w:t>
      </w:r>
      <w:r w:rsidR="00D74387">
        <w:rPr>
          <w:b/>
        </w:rPr>
        <w:t>Telemedicine</w:t>
      </w:r>
      <w:r w:rsidR="00102934">
        <w:rPr>
          <w:b/>
        </w:rPr>
        <w:t xml:space="preserve"> </w:t>
      </w:r>
      <w:r w:rsidR="00102934" w:rsidRPr="00995653">
        <w:rPr>
          <w:b/>
          <w:bCs/>
        </w:rPr>
        <w:t xml:space="preserve">in </w:t>
      </w:r>
      <w:r w:rsidR="00907FC4">
        <w:rPr>
          <w:b/>
          <w:bCs/>
        </w:rPr>
        <w:t>L</w:t>
      </w:r>
      <w:r w:rsidR="00102934" w:rsidRPr="00995653">
        <w:rPr>
          <w:b/>
          <w:bCs/>
        </w:rPr>
        <w:t>ight of the COVID-19 Pandemic</w:t>
      </w:r>
      <w:r w:rsidR="00102934" w:rsidRPr="001A1B4D">
        <w:t xml:space="preserve">  </w:t>
      </w:r>
    </w:p>
    <w:p w14:paraId="3043099E" w14:textId="77777777" w:rsidR="003C089A" w:rsidRDefault="003C089A">
      <w:pPr>
        <w:jc w:val="center"/>
        <w:sectPr w:rsidR="003C089A" w:rsidSect="00995653">
          <w:type w:val="continuous"/>
          <w:pgSz w:w="12240" w:h="15840"/>
          <w:pgMar w:top="1460" w:right="1120" w:bottom="280" w:left="1340" w:header="720" w:footer="720" w:gutter="0"/>
          <w:pgNumType w:start="1"/>
          <w:cols w:space="720"/>
          <w:titlePg/>
          <w:docGrid w:linePitch="299"/>
        </w:sectPr>
      </w:pPr>
    </w:p>
    <w:sdt>
      <w:sdtPr>
        <w:rPr>
          <w:rFonts w:ascii="Times New Roman" w:eastAsia="Times New Roman" w:hAnsi="Times New Roman" w:cs="Times New Roman"/>
          <w:b w:val="0"/>
          <w:bCs w:val="0"/>
          <w:color w:val="auto"/>
          <w:sz w:val="22"/>
          <w:szCs w:val="22"/>
        </w:rPr>
        <w:id w:val="-589706511"/>
        <w:docPartObj>
          <w:docPartGallery w:val="Table of Contents"/>
          <w:docPartUnique/>
        </w:docPartObj>
      </w:sdtPr>
      <w:sdtEndPr>
        <w:rPr>
          <w:noProof/>
        </w:rPr>
      </w:sdtEndPr>
      <w:sdtContent>
        <w:p w14:paraId="4BD32084" w14:textId="25349CB8" w:rsidR="002926E7" w:rsidRPr="00471F64" w:rsidRDefault="002926E7">
          <w:pPr>
            <w:pStyle w:val="TOCHeading"/>
            <w:rPr>
              <w:color w:val="auto"/>
            </w:rPr>
          </w:pPr>
          <w:r w:rsidRPr="00471F64">
            <w:rPr>
              <w:color w:val="auto"/>
            </w:rPr>
            <w:t>Table of Contents</w:t>
          </w:r>
        </w:p>
        <w:p w14:paraId="43D14E23" w14:textId="47BF308B" w:rsidR="002926E7" w:rsidRPr="002926E7" w:rsidRDefault="002926E7">
          <w:pPr>
            <w:pStyle w:val="TOC1"/>
            <w:tabs>
              <w:tab w:val="left" w:pos="440"/>
              <w:tab w:val="right" w:leader="dot" w:pos="9350"/>
            </w:tabs>
            <w:rPr>
              <w:rFonts w:ascii="Times New Roman" w:eastAsiaTheme="minorEastAsia" w:hAnsi="Times New Roman" w:cs="Times New Roman"/>
              <w:b w:val="0"/>
              <w:bCs w:val="0"/>
              <w:caps w:val="0"/>
              <w:noProof/>
              <w:sz w:val="22"/>
              <w:szCs w:val="22"/>
            </w:rPr>
          </w:pPr>
          <w:r>
            <w:fldChar w:fldCharType="begin"/>
          </w:r>
          <w:r>
            <w:instrText xml:space="preserve"> TOC \o "1-3" \h \z \u </w:instrText>
          </w:r>
          <w:r>
            <w:fldChar w:fldCharType="separate"/>
          </w:r>
          <w:hyperlink w:anchor="_Toc115353752" w:history="1">
            <w:r w:rsidR="00AF3E96" w:rsidRPr="002926E7">
              <w:rPr>
                <w:rStyle w:val="Hyperlink"/>
                <w:rFonts w:ascii="Times New Roman" w:hAnsi="Times New Roman" w:cs="Times New Roman"/>
                <w:noProof/>
                <w:sz w:val="22"/>
                <w:szCs w:val="22"/>
              </w:rPr>
              <w:t>I.</w:t>
            </w:r>
            <w:r w:rsidR="00AF3E96" w:rsidRPr="002926E7">
              <w:rPr>
                <w:rFonts w:ascii="Times New Roman" w:eastAsiaTheme="minorEastAsia" w:hAnsi="Times New Roman" w:cs="Times New Roman"/>
                <w:b w:val="0"/>
                <w:bCs w:val="0"/>
                <w:caps w:val="0"/>
                <w:noProof/>
                <w:sz w:val="22"/>
                <w:szCs w:val="22"/>
              </w:rPr>
              <w:tab/>
            </w:r>
            <w:r w:rsidR="00AF3E96" w:rsidRPr="002926E7">
              <w:rPr>
                <w:rStyle w:val="Hyperlink"/>
                <w:rFonts w:ascii="Times New Roman" w:hAnsi="Times New Roman" w:cs="Times New Roman"/>
                <w:noProof/>
                <w:sz w:val="22"/>
                <w:szCs w:val="22"/>
              </w:rPr>
              <w:t>INTRODUCTION</w:t>
            </w:r>
            <w:r w:rsidR="00AF3E96" w:rsidRPr="002926E7">
              <w:rPr>
                <w:rFonts w:ascii="Times New Roman" w:hAnsi="Times New Roman" w:cs="Times New Roman"/>
                <w:noProof/>
                <w:webHidden/>
                <w:sz w:val="22"/>
                <w:szCs w:val="22"/>
              </w:rPr>
              <w:tab/>
            </w:r>
            <w:r w:rsidR="00AF3E96">
              <w:rPr>
                <w:rFonts w:ascii="Times New Roman" w:hAnsi="Times New Roman" w:cs="Times New Roman"/>
                <w:noProof/>
                <w:webHidden/>
                <w:sz w:val="22"/>
                <w:szCs w:val="22"/>
              </w:rPr>
              <w:t>3</w:t>
            </w:r>
          </w:hyperlink>
        </w:p>
        <w:p w14:paraId="4FAF71C6" w14:textId="0E3ACDB6" w:rsidR="002926E7" w:rsidRPr="002926E7" w:rsidRDefault="00723177">
          <w:pPr>
            <w:pStyle w:val="TOC1"/>
            <w:tabs>
              <w:tab w:val="left" w:pos="440"/>
              <w:tab w:val="right" w:leader="dot" w:pos="9350"/>
            </w:tabs>
            <w:rPr>
              <w:rFonts w:ascii="Times New Roman" w:eastAsiaTheme="minorEastAsia" w:hAnsi="Times New Roman" w:cs="Times New Roman"/>
              <w:b w:val="0"/>
              <w:bCs w:val="0"/>
              <w:caps w:val="0"/>
              <w:noProof/>
              <w:sz w:val="22"/>
              <w:szCs w:val="22"/>
            </w:rPr>
          </w:pPr>
          <w:hyperlink w:anchor="_Toc115353753" w:history="1">
            <w:r w:rsidR="002926E7" w:rsidRPr="002926E7">
              <w:rPr>
                <w:rStyle w:val="Hyperlink"/>
                <w:rFonts w:ascii="Times New Roman" w:hAnsi="Times New Roman" w:cs="Times New Roman"/>
                <w:noProof/>
                <w:sz w:val="22"/>
                <w:szCs w:val="22"/>
              </w:rPr>
              <w:t>II.</w:t>
            </w:r>
            <w:r w:rsidR="002926E7" w:rsidRPr="002926E7">
              <w:rPr>
                <w:rFonts w:ascii="Times New Roman" w:eastAsiaTheme="minorEastAsia" w:hAnsi="Times New Roman" w:cs="Times New Roman"/>
                <w:b w:val="0"/>
                <w:bCs w:val="0"/>
                <w:caps w:val="0"/>
                <w:noProof/>
                <w:sz w:val="22"/>
                <w:szCs w:val="22"/>
              </w:rPr>
              <w:tab/>
            </w:r>
            <w:r w:rsidR="002926E7" w:rsidRPr="002926E7">
              <w:rPr>
                <w:rStyle w:val="Hyperlink"/>
                <w:rFonts w:ascii="Times New Roman" w:hAnsi="Times New Roman" w:cs="Times New Roman"/>
                <w:noProof/>
                <w:sz w:val="22"/>
                <w:szCs w:val="22"/>
              </w:rPr>
              <w:t>BACKGROUND</w:t>
            </w:r>
            <w:r w:rsidR="002926E7" w:rsidRPr="002926E7">
              <w:rPr>
                <w:rFonts w:ascii="Times New Roman" w:hAnsi="Times New Roman" w:cs="Times New Roman"/>
                <w:noProof/>
                <w:webHidden/>
                <w:sz w:val="22"/>
                <w:szCs w:val="22"/>
              </w:rPr>
              <w:tab/>
            </w:r>
            <w:r w:rsidR="002926E7" w:rsidRPr="002926E7">
              <w:rPr>
                <w:rFonts w:ascii="Times New Roman" w:hAnsi="Times New Roman" w:cs="Times New Roman"/>
                <w:noProof/>
                <w:webHidden/>
                <w:sz w:val="22"/>
                <w:szCs w:val="22"/>
              </w:rPr>
              <w:fldChar w:fldCharType="begin"/>
            </w:r>
            <w:r w:rsidR="002926E7" w:rsidRPr="002926E7">
              <w:rPr>
                <w:rFonts w:ascii="Times New Roman" w:hAnsi="Times New Roman" w:cs="Times New Roman"/>
                <w:noProof/>
                <w:webHidden/>
                <w:sz w:val="22"/>
                <w:szCs w:val="22"/>
              </w:rPr>
              <w:instrText xml:space="preserve"> PAGEREF _Toc115353753 \h </w:instrText>
            </w:r>
            <w:r w:rsidR="002926E7" w:rsidRPr="002926E7">
              <w:rPr>
                <w:rFonts w:ascii="Times New Roman" w:hAnsi="Times New Roman" w:cs="Times New Roman"/>
                <w:noProof/>
                <w:webHidden/>
                <w:sz w:val="22"/>
                <w:szCs w:val="22"/>
              </w:rPr>
            </w:r>
            <w:r w:rsidR="002926E7" w:rsidRPr="002926E7">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4</w:t>
            </w:r>
            <w:r w:rsidR="002926E7" w:rsidRPr="002926E7">
              <w:rPr>
                <w:rFonts w:ascii="Times New Roman" w:hAnsi="Times New Roman" w:cs="Times New Roman"/>
                <w:noProof/>
                <w:webHidden/>
                <w:sz w:val="22"/>
                <w:szCs w:val="22"/>
              </w:rPr>
              <w:fldChar w:fldCharType="end"/>
            </w:r>
          </w:hyperlink>
        </w:p>
        <w:p w14:paraId="18ACA9B3" w14:textId="735A6A16" w:rsidR="002926E7" w:rsidRPr="002926E7" w:rsidRDefault="00723177">
          <w:pPr>
            <w:pStyle w:val="TOC1"/>
            <w:tabs>
              <w:tab w:val="left" w:pos="440"/>
              <w:tab w:val="right" w:leader="dot" w:pos="9350"/>
            </w:tabs>
            <w:rPr>
              <w:rFonts w:ascii="Times New Roman" w:eastAsiaTheme="minorEastAsia" w:hAnsi="Times New Roman" w:cs="Times New Roman"/>
              <w:b w:val="0"/>
              <w:bCs w:val="0"/>
              <w:caps w:val="0"/>
              <w:noProof/>
              <w:sz w:val="22"/>
              <w:szCs w:val="22"/>
            </w:rPr>
          </w:pPr>
          <w:hyperlink w:anchor="_Toc115353754" w:history="1">
            <w:r w:rsidR="00AF3E96" w:rsidRPr="002926E7">
              <w:rPr>
                <w:rStyle w:val="Hyperlink"/>
                <w:rFonts w:ascii="Times New Roman" w:hAnsi="Times New Roman" w:cs="Times New Roman"/>
                <w:noProof/>
                <w:sz w:val="22"/>
                <w:szCs w:val="22"/>
              </w:rPr>
              <w:t>III.</w:t>
            </w:r>
            <w:r w:rsidR="00AF3E96" w:rsidRPr="002926E7">
              <w:rPr>
                <w:rFonts w:ascii="Times New Roman" w:eastAsiaTheme="minorEastAsia" w:hAnsi="Times New Roman" w:cs="Times New Roman"/>
                <w:b w:val="0"/>
                <w:bCs w:val="0"/>
                <w:caps w:val="0"/>
                <w:noProof/>
                <w:sz w:val="22"/>
                <w:szCs w:val="22"/>
              </w:rPr>
              <w:tab/>
            </w:r>
            <w:r w:rsidR="00AF3E96" w:rsidRPr="002926E7">
              <w:rPr>
                <w:rStyle w:val="Hyperlink"/>
                <w:rFonts w:ascii="Times New Roman" w:hAnsi="Times New Roman" w:cs="Times New Roman"/>
                <w:noProof/>
                <w:sz w:val="22"/>
                <w:szCs w:val="22"/>
              </w:rPr>
              <w:t>DISCUSSION</w:t>
            </w:r>
            <w:r w:rsidR="00AF3E96" w:rsidRPr="002926E7">
              <w:rPr>
                <w:rFonts w:ascii="Times New Roman" w:hAnsi="Times New Roman" w:cs="Times New Roman"/>
                <w:noProof/>
                <w:webHidden/>
                <w:sz w:val="22"/>
                <w:szCs w:val="22"/>
              </w:rPr>
              <w:tab/>
            </w:r>
            <w:r w:rsidR="00AF3E96">
              <w:rPr>
                <w:rFonts w:ascii="Times New Roman" w:hAnsi="Times New Roman" w:cs="Times New Roman"/>
                <w:noProof/>
                <w:webHidden/>
                <w:sz w:val="22"/>
                <w:szCs w:val="22"/>
              </w:rPr>
              <w:t>5</w:t>
            </w:r>
          </w:hyperlink>
        </w:p>
        <w:p w14:paraId="32F6F9AA" w14:textId="6EA4C13B" w:rsidR="002926E7" w:rsidRPr="002926E7" w:rsidRDefault="00723177">
          <w:pPr>
            <w:pStyle w:val="TOC2"/>
            <w:tabs>
              <w:tab w:val="left" w:pos="660"/>
              <w:tab w:val="right" w:leader="dot" w:pos="9350"/>
            </w:tabs>
            <w:rPr>
              <w:rFonts w:ascii="Times New Roman" w:eastAsiaTheme="minorEastAsia" w:hAnsi="Times New Roman" w:cs="Times New Roman"/>
              <w:smallCaps w:val="0"/>
              <w:noProof/>
              <w:sz w:val="22"/>
              <w:szCs w:val="22"/>
            </w:rPr>
          </w:pPr>
          <w:hyperlink w:anchor="_Toc115353755" w:history="1">
            <w:r w:rsidR="00AF3E96" w:rsidRPr="002926E7">
              <w:rPr>
                <w:rStyle w:val="Hyperlink"/>
                <w:rFonts w:ascii="Times New Roman" w:hAnsi="Times New Roman" w:cs="Times New Roman"/>
                <w:noProof/>
                <w:sz w:val="22"/>
                <w:szCs w:val="22"/>
              </w:rPr>
              <w:t>A.</w:t>
            </w:r>
            <w:r w:rsidR="00AF3E96" w:rsidRPr="002926E7">
              <w:rPr>
                <w:rFonts w:ascii="Times New Roman" w:eastAsiaTheme="minorEastAsia" w:hAnsi="Times New Roman" w:cs="Times New Roman"/>
                <w:smallCaps w:val="0"/>
                <w:noProof/>
                <w:sz w:val="22"/>
                <w:szCs w:val="22"/>
              </w:rPr>
              <w:tab/>
            </w:r>
            <w:r w:rsidR="00AF3E96" w:rsidRPr="002926E7">
              <w:rPr>
                <w:rStyle w:val="Hyperlink"/>
                <w:rFonts w:ascii="Times New Roman" w:hAnsi="Times New Roman" w:cs="Times New Roman"/>
                <w:noProof/>
                <w:sz w:val="22"/>
                <w:szCs w:val="22"/>
              </w:rPr>
              <w:t>FCC Funding for Broadband-Enabled Healthcare</w:t>
            </w:r>
            <w:r w:rsidR="00AF3E96" w:rsidRPr="002926E7">
              <w:rPr>
                <w:rFonts w:ascii="Times New Roman" w:hAnsi="Times New Roman" w:cs="Times New Roman"/>
                <w:noProof/>
                <w:webHidden/>
                <w:sz w:val="22"/>
                <w:szCs w:val="22"/>
              </w:rPr>
              <w:tab/>
            </w:r>
            <w:r w:rsidR="00AF3E96">
              <w:rPr>
                <w:rFonts w:ascii="Times New Roman" w:hAnsi="Times New Roman" w:cs="Times New Roman"/>
                <w:noProof/>
                <w:webHidden/>
                <w:sz w:val="22"/>
                <w:szCs w:val="22"/>
              </w:rPr>
              <w:t>5</w:t>
            </w:r>
          </w:hyperlink>
        </w:p>
        <w:p w14:paraId="47D4CD18" w14:textId="4195DC5C" w:rsidR="002926E7" w:rsidRPr="002926E7" w:rsidRDefault="00723177">
          <w:pPr>
            <w:pStyle w:val="TOC3"/>
            <w:tabs>
              <w:tab w:val="left" w:pos="880"/>
              <w:tab w:val="right" w:leader="dot" w:pos="9350"/>
            </w:tabs>
            <w:rPr>
              <w:rFonts w:ascii="Times New Roman" w:eastAsiaTheme="minorEastAsia" w:hAnsi="Times New Roman" w:cs="Times New Roman"/>
              <w:i w:val="0"/>
              <w:iCs w:val="0"/>
              <w:noProof/>
              <w:sz w:val="22"/>
              <w:szCs w:val="22"/>
            </w:rPr>
          </w:pPr>
          <w:hyperlink w:anchor="_Toc115353756" w:history="1">
            <w:r w:rsidR="00AF3E96" w:rsidRPr="002926E7">
              <w:rPr>
                <w:rStyle w:val="Hyperlink"/>
                <w:rFonts w:ascii="Times New Roman" w:hAnsi="Times New Roman" w:cs="Times New Roman"/>
                <w:i w:val="0"/>
                <w:iCs w:val="0"/>
                <w:noProof/>
                <w:sz w:val="22"/>
                <w:szCs w:val="22"/>
              </w:rPr>
              <w:t>1.</w:t>
            </w:r>
            <w:r w:rsidR="00AF3E96" w:rsidRPr="002926E7">
              <w:rPr>
                <w:rFonts w:ascii="Times New Roman" w:eastAsiaTheme="minorEastAsia" w:hAnsi="Times New Roman" w:cs="Times New Roman"/>
                <w:i w:val="0"/>
                <w:iCs w:val="0"/>
                <w:noProof/>
                <w:sz w:val="22"/>
                <w:szCs w:val="22"/>
              </w:rPr>
              <w:tab/>
            </w:r>
            <w:r w:rsidR="00AF3E96" w:rsidRPr="002926E7">
              <w:rPr>
                <w:rStyle w:val="Hyperlink"/>
                <w:rFonts w:ascii="Times New Roman" w:hAnsi="Times New Roman" w:cs="Times New Roman"/>
                <w:i w:val="0"/>
                <w:iCs w:val="0"/>
                <w:noProof/>
                <w:sz w:val="22"/>
                <w:szCs w:val="22"/>
              </w:rPr>
              <w:t>Rural Health Care Program</w:t>
            </w:r>
            <w:r w:rsidR="00AF3E96" w:rsidRPr="002926E7">
              <w:rPr>
                <w:rFonts w:ascii="Times New Roman" w:hAnsi="Times New Roman" w:cs="Times New Roman"/>
                <w:i w:val="0"/>
                <w:iCs w:val="0"/>
                <w:noProof/>
                <w:webHidden/>
                <w:sz w:val="22"/>
                <w:szCs w:val="22"/>
              </w:rPr>
              <w:tab/>
            </w:r>
            <w:r w:rsidR="00AF3E96">
              <w:rPr>
                <w:rFonts w:ascii="Times New Roman" w:hAnsi="Times New Roman" w:cs="Times New Roman"/>
                <w:i w:val="0"/>
                <w:iCs w:val="0"/>
                <w:noProof/>
                <w:webHidden/>
                <w:sz w:val="22"/>
                <w:szCs w:val="22"/>
              </w:rPr>
              <w:t>5</w:t>
            </w:r>
          </w:hyperlink>
        </w:p>
        <w:p w14:paraId="49CCDF7E" w14:textId="74375F19" w:rsidR="002926E7" w:rsidRPr="002926E7" w:rsidRDefault="00723177">
          <w:pPr>
            <w:pStyle w:val="TOC3"/>
            <w:tabs>
              <w:tab w:val="left" w:pos="880"/>
              <w:tab w:val="right" w:leader="dot" w:pos="9350"/>
            </w:tabs>
            <w:rPr>
              <w:rFonts w:ascii="Times New Roman" w:eastAsiaTheme="minorEastAsia" w:hAnsi="Times New Roman" w:cs="Times New Roman"/>
              <w:i w:val="0"/>
              <w:iCs w:val="0"/>
              <w:noProof/>
              <w:sz w:val="22"/>
              <w:szCs w:val="22"/>
            </w:rPr>
          </w:pPr>
          <w:hyperlink w:anchor="_Toc115353757" w:history="1">
            <w:r w:rsidR="00917951" w:rsidRPr="002926E7">
              <w:rPr>
                <w:rStyle w:val="Hyperlink"/>
                <w:rFonts w:ascii="Times New Roman" w:hAnsi="Times New Roman" w:cs="Times New Roman"/>
                <w:i w:val="0"/>
                <w:iCs w:val="0"/>
                <w:noProof/>
                <w:sz w:val="22"/>
                <w:szCs w:val="22"/>
              </w:rPr>
              <w:t>2.</w:t>
            </w:r>
            <w:r w:rsidR="00917951" w:rsidRPr="002926E7">
              <w:rPr>
                <w:rFonts w:ascii="Times New Roman" w:eastAsiaTheme="minorEastAsia" w:hAnsi="Times New Roman" w:cs="Times New Roman"/>
                <w:i w:val="0"/>
                <w:iCs w:val="0"/>
                <w:noProof/>
                <w:sz w:val="22"/>
                <w:szCs w:val="22"/>
              </w:rPr>
              <w:tab/>
            </w:r>
            <w:r w:rsidR="00917951" w:rsidRPr="002926E7">
              <w:rPr>
                <w:rStyle w:val="Hyperlink"/>
                <w:rFonts w:ascii="Times New Roman" w:hAnsi="Times New Roman" w:cs="Times New Roman"/>
                <w:i w:val="0"/>
                <w:iCs w:val="0"/>
                <w:noProof/>
                <w:sz w:val="22"/>
                <w:szCs w:val="22"/>
              </w:rPr>
              <w:t>The COVID-19 Telehealth Program</w:t>
            </w:r>
            <w:r w:rsidR="00917951" w:rsidRPr="002926E7">
              <w:rPr>
                <w:rFonts w:ascii="Times New Roman" w:hAnsi="Times New Roman" w:cs="Times New Roman"/>
                <w:i w:val="0"/>
                <w:iCs w:val="0"/>
                <w:noProof/>
                <w:webHidden/>
                <w:sz w:val="22"/>
                <w:szCs w:val="22"/>
              </w:rPr>
              <w:tab/>
            </w:r>
            <w:r w:rsidR="00917951">
              <w:rPr>
                <w:rFonts w:ascii="Times New Roman" w:hAnsi="Times New Roman" w:cs="Times New Roman"/>
                <w:i w:val="0"/>
                <w:iCs w:val="0"/>
                <w:noProof/>
                <w:webHidden/>
                <w:sz w:val="22"/>
                <w:szCs w:val="22"/>
              </w:rPr>
              <w:t>6</w:t>
            </w:r>
          </w:hyperlink>
        </w:p>
        <w:p w14:paraId="53A6D371" w14:textId="0B48278A" w:rsidR="002926E7" w:rsidRPr="002926E7" w:rsidRDefault="00723177">
          <w:pPr>
            <w:pStyle w:val="TOC3"/>
            <w:tabs>
              <w:tab w:val="left" w:pos="880"/>
              <w:tab w:val="right" w:leader="dot" w:pos="9350"/>
            </w:tabs>
            <w:rPr>
              <w:rFonts w:ascii="Times New Roman" w:eastAsiaTheme="minorEastAsia" w:hAnsi="Times New Roman" w:cs="Times New Roman"/>
              <w:i w:val="0"/>
              <w:iCs w:val="0"/>
              <w:noProof/>
              <w:sz w:val="22"/>
              <w:szCs w:val="22"/>
            </w:rPr>
          </w:pPr>
          <w:hyperlink w:anchor="_Toc115353758" w:history="1">
            <w:r w:rsidR="00917951" w:rsidRPr="002926E7">
              <w:rPr>
                <w:rStyle w:val="Hyperlink"/>
                <w:rFonts w:ascii="Times New Roman" w:hAnsi="Times New Roman" w:cs="Times New Roman"/>
                <w:i w:val="0"/>
                <w:iCs w:val="0"/>
                <w:noProof/>
                <w:sz w:val="22"/>
                <w:szCs w:val="22"/>
              </w:rPr>
              <w:t>3.</w:t>
            </w:r>
            <w:r w:rsidR="00917951" w:rsidRPr="002926E7">
              <w:rPr>
                <w:rFonts w:ascii="Times New Roman" w:eastAsiaTheme="minorEastAsia" w:hAnsi="Times New Roman" w:cs="Times New Roman"/>
                <w:i w:val="0"/>
                <w:iCs w:val="0"/>
                <w:noProof/>
                <w:sz w:val="22"/>
                <w:szCs w:val="22"/>
              </w:rPr>
              <w:tab/>
            </w:r>
            <w:r w:rsidR="00917951" w:rsidRPr="002926E7">
              <w:rPr>
                <w:rStyle w:val="Hyperlink"/>
                <w:rFonts w:ascii="Times New Roman" w:hAnsi="Times New Roman" w:cs="Times New Roman"/>
                <w:i w:val="0"/>
                <w:iCs w:val="0"/>
                <w:noProof/>
                <w:sz w:val="22"/>
                <w:szCs w:val="22"/>
              </w:rPr>
              <w:t>The Connected Care Pilot Program</w:t>
            </w:r>
            <w:r w:rsidR="00917951" w:rsidRPr="002926E7">
              <w:rPr>
                <w:rFonts w:ascii="Times New Roman" w:hAnsi="Times New Roman" w:cs="Times New Roman"/>
                <w:i w:val="0"/>
                <w:iCs w:val="0"/>
                <w:noProof/>
                <w:webHidden/>
                <w:sz w:val="22"/>
                <w:szCs w:val="22"/>
              </w:rPr>
              <w:tab/>
            </w:r>
            <w:r w:rsidR="00917951">
              <w:rPr>
                <w:rFonts w:ascii="Times New Roman" w:hAnsi="Times New Roman" w:cs="Times New Roman"/>
                <w:i w:val="0"/>
                <w:iCs w:val="0"/>
                <w:noProof/>
                <w:webHidden/>
                <w:sz w:val="22"/>
                <w:szCs w:val="22"/>
              </w:rPr>
              <w:t>7</w:t>
            </w:r>
          </w:hyperlink>
        </w:p>
        <w:p w14:paraId="420A7AC1" w14:textId="2DAC5922" w:rsidR="002926E7" w:rsidRPr="002926E7" w:rsidRDefault="00723177">
          <w:pPr>
            <w:pStyle w:val="TOC3"/>
            <w:tabs>
              <w:tab w:val="left" w:pos="880"/>
              <w:tab w:val="right" w:leader="dot" w:pos="9350"/>
            </w:tabs>
            <w:rPr>
              <w:rFonts w:ascii="Times New Roman" w:eastAsiaTheme="minorEastAsia" w:hAnsi="Times New Roman" w:cs="Times New Roman"/>
              <w:i w:val="0"/>
              <w:iCs w:val="0"/>
              <w:noProof/>
              <w:sz w:val="22"/>
              <w:szCs w:val="22"/>
            </w:rPr>
          </w:pPr>
          <w:hyperlink w:anchor="_Toc115353759" w:history="1">
            <w:r w:rsidR="00AF3E96" w:rsidRPr="002926E7">
              <w:rPr>
                <w:rStyle w:val="Hyperlink"/>
                <w:rFonts w:ascii="Times New Roman" w:hAnsi="Times New Roman" w:cs="Times New Roman"/>
                <w:i w:val="0"/>
                <w:iCs w:val="0"/>
                <w:noProof/>
                <w:sz w:val="22"/>
                <w:szCs w:val="22"/>
              </w:rPr>
              <w:t>4.</w:t>
            </w:r>
            <w:r w:rsidR="00AF3E96" w:rsidRPr="002926E7">
              <w:rPr>
                <w:rFonts w:ascii="Times New Roman" w:eastAsiaTheme="minorEastAsia" w:hAnsi="Times New Roman" w:cs="Times New Roman"/>
                <w:i w:val="0"/>
                <w:iCs w:val="0"/>
                <w:noProof/>
                <w:sz w:val="22"/>
                <w:szCs w:val="22"/>
              </w:rPr>
              <w:tab/>
            </w:r>
            <w:r w:rsidR="00AF3E96" w:rsidRPr="002926E7">
              <w:rPr>
                <w:rStyle w:val="Hyperlink"/>
                <w:rFonts w:ascii="Times New Roman" w:hAnsi="Times New Roman" w:cs="Times New Roman"/>
                <w:i w:val="0"/>
                <w:iCs w:val="0"/>
                <w:noProof/>
                <w:sz w:val="22"/>
                <w:szCs w:val="22"/>
              </w:rPr>
              <w:t>The Affordable Connectivity Program (Formerly Emergency Broadband Benefit)</w:t>
            </w:r>
            <w:r w:rsidR="00AF3E96" w:rsidRPr="002926E7">
              <w:rPr>
                <w:rFonts w:ascii="Times New Roman" w:hAnsi="Times New Roman" w:cs="Times New Roman"/>
                <w:i w:val="0"/>
                <w:iCs w:val="0"/>
                <w:noProof/>
                <w:webHidden/>
                <w:sz w:val="22"/>
                <w:szCs w:val="22"/>
              </w:rPr>
              <w:tab/>
            </w:r>
            <w:r w:rsidR="00AF3E96">
              <w:rPr>
                <w:rFonts w:ascii="Times New Roman" w:hAnsi="Times New Roman" w:cs="Times New Roman"/>
                <w:i w:val="0"/>
                <w:iCs w:val="0"/>
                <w:noProof/>
                <w:webHidden/>
                <w:sz w:val="22"/>
                <w:szCs w:val="22"/>
              </w:rPr>
              <w:t>7</w:t>
            </w:r>
          </w:hyperlink>
        </w:p>
        <w:p w14:paraId="27141CC0" w14:textId="6CCDD5FD" w:rsidR="002926E7" w:rsidRPr="002926E7" w:rsidRDefault="00723177">
          <w:pPr>
            <w:pStyle w:val="TOC2"/>
            <w:tabs>
              <w:tab w:val="left" w:pos="660"/>
              <w:tab w:val="right" w:leader="dot" w:pos="9350"/>
            </w:tabs>
            <w:rPr>
              <w:rFonts w:ascii="Times New Roman" w:eastAsiaTheme="minorEastAsia" w:hAnsi="Times New Roman" w:cs="Times New Roman"/>
              <w:smallCaps w:val="0"/>
              <w:noProof/>
              <w:sz w:val="22"/>
              <w:szCs w:val="22"/>
            </w:rPr>
          </w:pPr>
          <w:hyperlink w:anchor="_Toc115353760" w:history="1">
            <w:r w:rsidR="002926E7" w:rsidRPr="002926E7">
              <w:rPr>
                <w:rStyle w:val="Hyperlink"/>
                <w:rFonts w:ascii="Times New Roman" w:hAnsi="Times New Roman" w:cs="Times New Roman"/>
                <w:noProof/>
                <w:sz w:val="22"/>
                <w:szCs w:val="22"/>
              </w:rPr>
              <w:t>B.</w:t>
            </w:r>
            <w:r w:rsidR="002926E7" w:rsidRPr="002926E7">
              <w:rPr>
                <w:rFonts w:ascii="Times New Roman" w:eastAsiaTheme="minorEastAsia" w:hAnsi="Times New Roman" w:cs="Times New Roman"/>
                <w:smallCaps w:val="0"/>
                <w:noProof/>
                <w:sz w:val="22"/>
                <w:szCs w:val="22"/>
              </w:rPr>
              <w:tab/>
            </w:r>
            <w:r w:rsidR="002926E7" w:rsidRPr="002926E7">
              <w:rPr>
                <w:rStyle w:val="Hyperlink"/>
                <w:rFonts w:ascii="Times New Roman" w:hAnsi="Times New Roman" w:cs="Times New Roman"/>
                <w:noProof/>
                <w:sz w:val="22"/>
                <w:szCs w:val="22"/>
              </w:rPr>
              <w:t>Mapping Broadband Health in America</w:t>
            </w:r>
            <w:r w:rsidR="002926E7" w:rsidRPr="002926E7">
              <w:rPr>
                <w:rFonts w:ascii="Times New Roman" w:hAnsi="Times New Roman" w:cs="Times New Roman"/>
                <w:noProof/>
                <w:webHidden/>
                <w:sz w:val="22"/>
                <w:szCs w:val="22"/>
              </w:rPr>
              <w:tab/>
            </w:r>
            <w:r w:rsidR="002926E7" w:rsidRPr="002926E7">
              <w:rPr>
                <w:rFonts w:ascii="Times New Roman" w:hAnsi="Times New Roman" w:cs="Times New Roman"/>
                <w:noProof/>
                <w:webHidden/>
                <w:sz w:val="22"/>
                <w:szCs w:val="22"/>
              </w:rPr>
              <w:fldChar w:fldCharType="begin"/>
            </w:r>
            <w:r w:rsidR="002926E7" w:rsidRPr="002926E7">
              <w:rPr>
                <w:rFonts w:ascii="Times New Roman" w:hAnsi="Times New Roman" w:cs="Times New Roman"/>
                <w:noProof/>
                <w:webHidden/>
                <w:sz w:val="22"/>
                <w:szCs w:val="22"/>
              </w:rPr>
              <w:instrText xml:space="preserve"> PAGEREF _Toc115353760 \h </w:instrText>
            </w:r>
            <w:r w:rsidR="002926E7" w:rsidRPr="002926E7">
              <w:rPr>
                <w:rFonts w:ascii="Times New Roman" w:hAnsi="Times New Roman" w:cs="Times New Roman"/>
                <w:noProof/>
                <w:webHidden/>
                <w:sz w:val="22"/>
                <w:szCs w:val="22"/>
              </w:rPr>
            </w:r>
            <w:r w:rsidR="002926E7" w:rsidRPr="002926E7">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8</w:t>
            </w:r>
            <w:r w:rsidR="002926E7" w:rsidRPr="002926E7">
              <w:rPr>
                <w:rFonts w:ascii="Times New Roman" w:hAnsi="Times New Roman" w:cs="Times New Roman"/>
                <w:noProof/>
                <w:webHidden/>
                <w:sz w:val="22"/>
                <w:szCs w:val="22"/>
              </w:rPr>
              <w:fldChar w:fldCharType="end"/>
            </w:r>
          </w:hyperlink>
        </w:p>
        <w:p w14:paraId="499FB509" w14:textId="2BBC0B53" w:rsidR="002926E7" w:rsidRPr="002926E7" w:rsidRDefault="00723177">
          <w:pPr>
            <w:pStyle w:val="TOC2"/>
            <w:tabs>
              <w:tab w:val="left" w:pos="660"/>
              <w:tab w:val="right" w:leader="dot" w:pos="9350"/>
            </w:tabs>
            <w:rPr>
              <w:rFonts w:ascii="Times New Roman" w:eastAsiaTheme="minorEastAsia" w:hAnsi="Times New Roman" w:cs="Times New Roman"/>
              <w:smallCaps w:val="0"/>
              <w:noProof/>
              <w:sz w:val="22"/>
              <w:szCs w:val="22"/>
            </w:rPr>
          </w:pPr>
          <w:hyperlink w:anchor="_Toc115353761" w:history="1">
            <w:r w:rsidR="00AF3E96" w:rsidRPr="002926E7">
              <w:rPr>
                <w:rStyle w:val="Hyperlink"/>
                <w:rFonts w:ascii="Times New Roman" w:hAnsi="Times New Roman" w:cs="Times New Roman"/>
                <w:noProof/>
                <w:sz w:val="22"/>
                <w:szCs w:val="22"/>
              </w:rPr>
              <w:t>C.</w:t>
            </w:r>
            <w:r w:rsidR="00AF3E96" w:rsidRPr="002926E7">
              <w:rPr>
                <w:rFonts w:ascii="Times New Roman" w:eastAsiaTheme="minorEastAsia" w:hAnsi="Times New Roman" w:cs="Times New Roman"/>
                <w:smallCaps w:val="0"/>
                <w:noProof/>
                <w:sz w:val="22"/>
                <w:szCs w:val="22"/>
              </w:rPr>
              <w:tab/>
            </w:r>
            <w:r w:rsidR="00AF3E96" w:rsidRPr="002926E7">
              <w:rPr>
                <w:rStyle w:val="Hyperlink"/>
                <w:rFonts w:ascii="Times New Roman" w:hAnsi="Times New Roman" w:cs="Times New Roman"/>
                <w:noProof/>
                <w:sz w:val="22"/>
                <w:szCs w:val="22"/>
              </w:rPr>
              <w:t>Telehealth on Tribal Lands</w:t>
            </w:r>
            <w:r w:rsidR="00AF3E96" w:rsidRPr="002926E7">
              <w:rPr>
                <w:rFonts w:ascii="Times New Roman" w:hAnsi="Times New Roman" w:cs="Times New Roman"/>
                <w:noProof/>
                <w:webHidden/>
                <w:sz w:val="22"/>
                <w:szCs w:val="22"/>
              </w:rPr>
              <w:tab/>
            </w:r>
            <w:r w:rsidR="00AF3E96">
              <w:rPr>
                <w:rFonts w:ascii="Times New Roman" w:hAnsi="Times New Roman" w:cs="Times New Roman"/>
                <w:noProof/>
                <w:webHidden/>
                <w:sz w:val="22"/>
                <w:szCs w:val="22"/>
              </w:rPr>
              <w:t>11</w:t>
            </w:r>
          </w:hyperlink>
        </w:p>
        <w:p w14:paraId="0EF0F875" w14:textId="58D078CD" w:rsidR="002926E7" w:rsidRPr="002926E7" w:rsidRDefault="00723177">
          <w:pPr>
            <w:pStyle w:val="TOC2"/>
            <w:tabs>
              <w:tab w:val="left" w:pos="660"/>
              <w:tab w:val="right" w:leader="dot" w:pos="9350"/>
            </w:tabs>
            <w:rPr>
              <w:rFonts w:ascii="Times New Roman" w:eastAsiaTheme="minorEastAsia" w:hAnsi="Times New Roman" w:cs="Times New Roman"/>
              <w:smallCaps w:val="0"/>
              <w:noProof/>
              <w:sz w:val="22"/>
              <w:szCs w:val="22"/>
            </w:rPr>
          </w:pPr>
          <w:hyperlink w:anchor="_Toc115353762" w:history="1">
            <w:r w:rsidR="002345E6" w:rsidRPr="002926E7">
              <w:rPr>
                <w:rStyle w:val="Hyperlink"/>
                <w:rFonts w:ascii="Times New Roman" w:hAnsi="Times New Roman" w:cs="Times New Roman"/>
                <w:noProof/>
                <w:sz w:val="22"/>
                <w:szCs w:val="22"/>
              </w:rPr>
              <w:t>D.</w:t>
            </w:r>
            <w:r w:rsidR="002345E6" w:rsidRPr="002926E7">
              <w:rPr>
                <w:rFonts w:ascii="Times New Roman" w:eastAsiaTheme="minorEastAsia" w:hAnsi="Times New Roman" w:cs="Times New Roman"/>
                <w:smallCaps w:val="0"/>
                <w:noProof/>
                <w:sz w:val="22"/>
                <w:szCs w:val="22"/>
              </w:rPr>
              <w:tab/>
            </w:r>
            <w:r w:rsidR="002345E6" w:rsidRPr="002926E7">
              <w:rPr>
                <w:rStyle w:val="Hyperlink"/>
                <w:rFonts w:ascii="Times New Roman" w:hAnsi="Times New Roman" w:cs="Times New Roman"/>
                <w:noProof/>
                <w:sz w:val="22"/>
                <w:szCs w:val="22"/>
              </w:rPr>
              <w:t>Broadband Infrastructure Requirements and Optimal Technical</w:t>
            </w:r>
            <w:r w:rsidR="002345E6" w:rsidRPr="002926E7">
              <w:rPr>
                <w:rStyle w:val="Hyperlink"/>
                <w:rFonts w:ascii="Times New Roman" w:hAnsi="Times New Roman" w:cs="Times New Roman"/>
                <w:noProof/>
                <w:spacing w:val="-1"/>
                <w:sz w:val="22"/>
                <w:szCs w:val="22"/>
              </w:rPr>
              <w:t xml:space="preserve"> </w:t>
            </w:r>
            <w:r w:rsidR="002345E6" w:rsidRPr="002926E7">
              <w:rPr>
                <w:rStyle w:val="Hyperlink"/>
                <w:rFonts w:ascii="Times New Roman" w:hAnsi="Times New Roman" w:cs="Times New Roman"/>
                <w:noProof/>
                <w:sz w:val="22"/>
                <w:szCs w:val="22"/>
              </w:rPr>
              <w:t>Features</w:t>
            </w:r>
            <w:r w:rsidR="002345E6" w:rsidRPr="002926E7">
              <w:rPr>
                <w:rStyle w:val="Hyperlink"/>
                <w:rFonts w:ascii="Times New Roman" w:hAnsi="Times New Roman" w:cs="Times New Roman"/>
                <w:noProof/>
                <w:spacing w:val="-3"/>
                <w:sz w:val="22"/>
                <w:szCs w:val="22"/>
              </w:rPr>
              <w:t xml:space="preserve"> </w:t>
            </w:r>
            <w:r w:rsidR="002345E6" w:rsidRPr="002926E7">
              <w:rPr>
                <w:rStyle w:val="Hyperlink"/>
                <w:rFonts w:ascii="Times New Roman" w:hAnsi="Times New Roman" w:cs="Times New Roman"/>
                <w:noProof/>
                <w:sz w:val="22"/>
                <w:szCs w:val="22"/>
              </w:rPr>
              <w:t>for</w:t>
            </w:r>
            <w:r w:rsidR="002345E6" w:rsidRPr="002926E7">
              <w:rPr>
                <w:rStyle w:val="Hyperlink"/>
                <w:rFonts w:ascii="Times New Roman" w:hAnsi="Times New Roman" w:cs="Times New Roman"/>
                <w:noProof/>
                <w:spacing w:val="-2"/>
                <w:sz w:val="22"/>
                <w:szCs w:val="22"/>
              </w:rPr>
              <w:t xml:space="preserve"> </w:t>
            </w:r>
            <w:r w:rsidR="002345E6" w:rsidRPr="002926E7">
              <w:rPr>
                <w:rStyle w:val="Hyperlink"/>
                <w:rFonts w:ascii="Times New Roman" w:hAnsi="Times New Roman" w:cs="Times New Roman"/>
                <w:noProof/>
                <w:sz w:val="22"/>
                <w:szCs w:val="22"/>
              </w:rPr>
              <w:t>Telehealth Provisioning</w:t>
            </w:r>
            <w:r w:rsidR="002345E6" w:rsidRPr="002926E7">
              <w:rPr>
                <w:rFonts w:ascii="Times New Roman" w:hAnsi="Times New Roman" w:cs="Times New Roman"/>
                <w:noProof/>
                <w:webHidden/>
                <w:sz w:val="22"/>
                <w:szCs w:val="22"/>
              </w:rPr>
              <w:tab/>
            </w:r>
            <w:r w:rsidR="002345E6" w:rsidRPr="002926E7">
              <w:rPr>
                <w:rFonts w:ascii="Times New Roman" w:hAnsi="Times New Roman" w:cs="Times New Roman"/>
                <w:noProof/>
                <w:webHidden/>
                <w:sz w:val="22"/>
                <w:szCs w:val="22"/>
              </w:rPr>
              <w:fldChar w:fldCharType="begin"/>
            </w:r>
            <w:r w:rsidR="002345E6" w:rsidRPr="002926E7">
              <w:rPr>
                <w:rFonts w:ascii="Times New Roman" w:hAnsi="Times New Roman" w:cs="Times New Roman"/>
                <w:noProof/>
                <w:webHidden/>
                <w:sz w:val="22"/>
                <w:szCs w:val="22"/>
              </w:rPr>
              <w:instrText xml:space="preserve"> PAGEREF _Toc115353762 \h </w:instrText>
            </w:r>
            <w:r w:rsidR="002345E6" w:rsidRPr="002926E7">
              <w:rPr>
                <w:rFonts w:ascii="Times New Roman" w:hAnsi="Times New Roman" w:cs="Times New Roman"/>
                <w:noProof/>
                <w:webHidden/>
                <w:sz w:val="22"/>
                <w:szCs w:val="22"/>
              </w:rPr>
            </w:r>
            <w:r w:rsidR="002345E6" w:rsidRPr="002926E7">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12</w:t>
            </w:r>
            <w:r w:rsidR="002345E6" w:rsidRPr="002926E7">
              <w:rPr>
                <w:rFonts w:ascii="Times New Roman" w:hAnsi="Times New Roman" w:cs="Times New Roman"/>
                <w:noProof/>
                <w:webHidden/>
                <w:sz w:val="22"/>
                <w:szCs w:val="22"/>
              </w:rPr>
              <w:fldChar w:fldCharType="end"/>
            </w:r>
          </w:hyperlink>
        </w:p>
        <w:p w14:paraId="4D786058" w14:textId="1E382CBA" w:rsidR="002926E7" w:rsidRPr="002926E7" w:rsidRDefault="00723177">
          <w:pPr>
            <w:pStyle w:val="TOC3"/>
            <w:tabs>
              <w:tab w:val="left" w:pos="880"/>
              <w:tab w:val="right" w:leader="dot" w:pos="9350"/>
            </w:tabs>
            <w:rPr>
              <w:rFonts w:ascii="Times New Roman" w:eastAsiaTheme="minorEastAsia" w:hAnsi="Times New Roman" w:cs="Times New Roman"/>
              <w:i w:val="0"/>
              <w:iCs w:val="0"/>
              <w:noProof/>
              <w:sz w:val="22"/>
              <w:szCs w:val="22"/>
            </w:rPr>
          </w:pPr>
          <w:hyperlink w:anchor="_Toc115353763" w:history="1">
            <w:r w:rsidR="002345E6" w:rsidRPr="002926E7">
              <w:rPr>
                <w:rStyle w:val="Hyperlink"/>
                <w:rFonts w:ascii="Times New Roman" w:hAnsi="Times New Roman" w:cs="Times New Roman"/>
                <w:i w:val="0"/>
                <w:iCs w:val="0"/>
                <w:noProof/>
                <w:sz w:val="22"/>
                <w:szCs w:val="22"/>
              </w:rPr>
              <w:t>1.</w:t>
            </w:r>
            <w:r w:rsidR="002345E6" w:rsidRPr="002926E7">
              <w:rPr>
                <w:rFonts w:ascii="Times New Roman" w:eastAsiaTheme="minorEastAsia" w:hAnsi="Times New Roman" w:cs="Times New Roman"/>
                <w:i w:val="0"/>
                <w:iCs w:val="0"/>
                <w:noProof/>
                <w:sz w:val="22"/>
                <w:szCs w:val="22"/>
              </w:rPr>
              <w:tab/>
            </w:r>
            <w:r w:rsidR="002345E6" w:rsidRPr="002926E7">
              <w:rPr>
                <w:rStyle w:val="Hyperlink"/>
                <w:rFonts w:ascii="Times New Roman" w:hAnsi="Times New Roman" w:cs="Times New Roman"/>
                <w:i w:val="0"/>
                <w:iCs w:val="0"/>
                <w:noProof/>
                <w:sz w:val="22"/>
                <w:szCs w:val="22"/>
              </w:rPr>
              <w:t>Broadband</w:t>
            </w:r>
            <w:r w:rsidR="002345E6" w:rsidRPr="002926E7">
              <w:rPr>
                <w:rStyle w:val="Hyperlink"/>
                <w:rFonts w:ascii="Times New Roman" w:hAnsi="Times New Roman" w:cs="Times New Roman"/>
                <w:i w:val="0"/>
                <w:iCs w:val="0"/>
                <w:noProof/>
                <w:spacing w:val="-3"/>
                <w:sz w:val="22"/>
                <w:szCs w:val="22"/>
              </w:rPr>
              <w:t xml:space="preserve"> </w:t>
            </w:r>
            <w:r w:rsidR="002345E6" w:rsidRPr="002926E7">
              <w:rPr>
                <w:rStyle w:val="Hyperlink"/>
                <w:rFonts w:ascii="Times New Roman" w:hAnsi="Times New Roman" w:cs="Times New Roman"/>
                <w:i w:val="0"/>
                <w:iCs w:val="0"/>
                <w:noProof/>
                <w:sz w:val="22"/>
                <w:szCs w:val="22"/>
              </w:rPr>
              <w:t>Infrastructure</w:t>
            </w:r>
            <w:r w:rsidR="002345E6" w:rsidRPr="002926E7">
              <w:rPr>
                <w:rStyle w:val="Hyperlink"/>
                <w:rFonts w:ascii="Times New Roman" w:hAnsi="Times New Roman" w:cs="Times New Roman"/>
                <w:i w:val="0"/>
                <w:iCs w:val="0"/>
                <w:noProof/>
                <w:spacing w:val="-3"/>
                <w:sz w:val="22"/>
                <w:szCs w:val="22"/>
              </w:rPr>
              <w:t xml:space="preserve"> </w:t>
            </w:r>
            <w:r w:rsidR="002345E6" w:rsidRPr="002926E7">
              <w:rPr>
                <w:rStyle w:val="Hyperlink"/>
                <w:rFonts w:ascii="Times New Roman" w:hAnsi="Times New Roman" w:cs="Times New Roman"/>
                <w:i w:val="0"/>
                <w:iCs w:val="0"/>
                <w:noProof/>
                <w:sz w:val="22"/>
                <w:szCs w:val="22"/>
              </w:rPr>
              <w:t>Requirements</w:t>
            </w:r>
            <w:r w:rsidR="002345E6" w:rsidRPr="002926E7">
              <w:rPr>
                <w:rStyle w:val="Hyperlink"/>
                <w:rFonts w:ascii="Times New Roman" w:hAnsi="Times New Roman" w:cs="Times New Roman"/>
                <w:i w:val="0"/>
                <w:iCs w:val="0"/>
                <w:noProof/>
                <w:spacing w:val="-3"/>
                <w:sz w:val="22"/>
                <w:szCs w:val="22"/>
              </w:rPr>
              <w:t xml:space="preserve"> </w:t>
            </w:r>
            <w:r w:rsidR="002345E6" w:rsidRPr="002926E7">
              <w:rPr>
                <w:rStyle w:val="Hyperlink"/>
                <w:rFonts w:ascii="Times New Roman" w:hAnsi="Times New Roman" w:cs="Times New Roman"/>
                <w:i w:val="0"/>
                <w:iCs w:val="0"/>
                <w:noProof/>
                <w:sz w:val="22"/>
                <w:szCs w:val="22"/>
              </w:rPr>
              <w:t>for</w:t>
            </w:r>
            <w:r w:rsidR="002345E6" w:rsidRPr="002926E7">
              <w:rPr>
                <w:rStyle w:val="Hyperlink"/>
                <w:rFonts w:ascii="Times New Roman" w:hAnsi="Times New Roman" w:cs="Times New Roman"/>
                <w:i w:val="0"/>
                <w:iCs w:val="0"/>
                <w:noProof/>
                <w:spacing w:val="-2"/>
                <w:sz w:val="22"/>
                <w:szCs w:val="22"/>
              </w:rPr>
              <w:t xml:space="preserve"> </w:t>
            </w:r>
            <w:r w:rsidR="002345E6" w:rsidRPr="002926E7">
              <w:rPr>
                <w:rStyle w:val="Hyperlink"/>
                <w:rFonts w:ascii="Times New Roman" w:hAnsi="Times New Roman" w:cs="Times New Roman"/>
                <w:i w:val="0"/>
                <w:iCs w:val="0"/>
                <w:noProof/>
                <w:sz w:val="22"/>
                <w:szCs w:val="22"/>
              </w:rPr>
              <w:t>Telehealth</w:t>
            </w:r>
            <w:r w:rsidR="002345E6" w:rsidRPr="002926E7">
              <w:rPr>
                <w:rFonts w:ascii="Times New Roman" w:hAnsi="Times New Roman" w:cs="Times New Roman"/>
                <w:i w:val="0"/>
                <w:iCs w:val="0"/>
                <w:noProof/>
                <w:webHidden/>
                <w:sz w:val="22"/>
                <w:szCs w:val="22"/>
              </w:rPr>
              <w:tab/>
            </w:r>
            <w:r w:rsidR="002345E6" w:rsidRPr="002926E7">
              <w:rPr>
                <w:rFonts w:ascii="Times New Roman" w:hAnsi="Times New Roman" w:cs="Times New Roman"/>
                <w:i w:val="0"/>
                <w:iCs w:val="0"/>
                <w:noProof/>
                <w:webHidden/>
                <w:sz w:val="22"/>
                <w:szCs w:val="22"/>
              </w:rPr>
              <w:fldChar w:fldCharType="begin"/>
            </w:r>
            <w:r w:rsidR="002345E6" w:rsidRPr="002926E7">
              <w:rPr>
                <w:rFonts w:ascii="Times New Roman" w:hAnsi="Times New Roman" w:cs="Times New Roman"/>
                <w:i w:val="0"/>
                <w:iCs w:val="0"/>
                <w:noProof/>
                <w:webHidden/>
                <w:sz w:val="22"/>
                <w:szCs w:val="22"/>
              </w:rPr>
              <w:instrText xml:space="preserve"> PAGEREF _Toc115353763 \h </w:instrText>
            </w:r>
            <w:r w:rsidR="002345E6" w:rsidRPr="002926E7">
              <w:rPr>
                <w:rFonts w:ascii="Times New Roman" w:hAnsi="Times New Roman" w:cs="Times New Roman"/>
                <w:i w:val="0"/>
                <w:iCs w:val="0"/>
                <w:noProof/>
                <w:webHidden/>
                <w:sz w:val="22"/>
                <w:szCs w:val="22"/>
              </w:rPr>
            </w:r>
            <w:r w:rsidR="002345E6" w:rsidRPr="002926E7">
              <w:rPr>
                <w:rFonts w:ascii="Times New Roman" w:hAnsi="Times New Roman" w:cs="Times New Roman"/>
                <w:i w:val="0"/>
                <w:iCs w:val="0"/>
                <w:noProof/>
                <w:webHidden/>
                <w:sz w:val="22"/>
                <w:szCs w:val="22"/>
              </w:rPr>
              <w:fldChar w:fldCharType="separate"/>
            </w:r>
            <w:r>
              <w:rPr>
                <w:rFonts w:ascii="Times New Roman" w:hAnsi="Times New Roman" w:cs="Times New Roman"/>
                <w:i w:val="0"/>
                <w:iCs w:val="0"/>
                <w:noProof/>
                <w:webHidden/>
                <w:sz w:val="22"/>
                <w:szCs w:val="22"/>
              </w:rPr>
              <w:t>12</w:t>
            </w:r>
            <w:r w:rsidR="002345E6" w:rsidRPr="002926E7">
              <w:rPr>
                <w:rFonts w:ascii="Times New Roman" w:hAnsi="Times New Roman" w:cs="Times New Roman"/>
                <w:i w:val="0"/>
                <w:iCs w:val="0"/>
                <w:noProof/>
                <w:webHidden/>
                <w:sz w:val="22"/>
                <w:szCs w:val="22"/>
              </w:rPr>
              <w:fldChar w:fldCharType="end"/>
            </w:r>
          </w:hyperlink>
        </w:p>
        <w:p w14:paraId="1E14E085" w14:textId="519016DB" w:rsidR="002926E7" w:rsidRPr="002926E7" w:rsidRDefault="00723177">
          <w:pPr>
            <w:pStyle w:val="TOC3"/>
            <w:tabs>
              <w:tab w:val="left" w:pos="880"/>
              <w:tab w:val="right" w:leader="dot" w:pos="9350"/>
            </w:tabs>
            <w:rPr>
              <w:rFonts w:ascii="Times New Roman" w:eastAsiaTheme="minorEastAsia" w:hAnsi="Times New Roman" w:cs="Times New Roman"/>
              <w:i w:val="0"/>
              <w:iCs w:val="0"/>
              <w:noProof/>
              <w:sz w:val="22"/>
              <w:szCs w:val="22"/>
            </w:rPr>
          </w:pPr>
          <w:hyperlink w:anchor="_Toc115353764" w:history="1">
            <w:r w:rsidR="00917951" w:rsidRPr="002926E7">
              <w:rPr>
                <w:rStyle w:val="Hyperlink"/>
                <w:rFonts w:ascii="Times New Roman" w:hAnsi="Times New Roman" w:cs="Times New Roman"/>
                <w:i w:val="0"/>
                <w:iCs w:val="0"/>
                <w:noProof/>
                <w:sz w:val="22"/>
                <w:szCs w:val="22"/>
              </w:rPr>
              <w:t>2.</w:t>
            </w:r>
            <w:r w:rsidR="00917951" w:rsidRPr="002926E7">
              <w:rPr>
                <w:rFonts w:ascii="Times New Roman" w:eastAsiaTheme="minorEastAsia" w:hAnsi="Times New Roman" w:cs="Times New Roman"/>
                <w:i w:val="0"/>
                <w:iCs w:val="0"/>
                <w:noProof/>
                <w:sz w:val="22"/>
                <w:szCs w:val="22"/>
              </w:rPr>
              <w:tab/>
            </w:r>
            <w:r w:rsidR="00917951" w:rsidRPr="002926E7">
              <w:rPr>
                <w:rStyle w:val="Hyperlink"/>
                <w:rFonts w:ascii="Times New Roman" w:hAnsi="Times New Roman" w:cs="Times New Roman"/>
                <w:i w:val="0"/>
                <w:iCs w:val="0"/>
                <w:noProof/>
                <w:sz w:val="22"/>
                <w:szCs w:val="22"/>
              </w:rPr>
              <w:t>Optimal Technical Features for Broadband</w:t>
            </w:r>
            <w:r w:rsidR="00917951" w:rsidRPr="002926E7">
              <w:rPr>
                <w:rStyle w:val="Hyperlink"/>
                <w:rFonts w:ascii="Times New Roman" w:hAnsi="Times New Roman" w:cs="Times New Roman"/>
                <w:i w:val="0"/>
                <w:iCs w:val="0"/>
                <w:noProof/>
                <w:spacing w:val="-2"/>
                <w:sz w:val="22"/>
                <w:szCs w:val="22"/>
              </w:rPr>
              <w:t xml:space="preserve"> </w:t>
            </w:r>
            <w:r w:rsidR="00917951" w:rsidRPr="002926E7">
              <w:rPr>
                <w:rStyle w:val="Hyperlink"/>
                <w:rFonts w:ascii="Times New Roman" w:hAnsi="Times New Roman" w:cs="Times New Roman"/>
                <w:i w:val="0"/>
                <w:iCs w:val="0"/>
                <w:noProof/>
                <w:sz w:val="22"/>
                <w:szCs w:val="22"/>
              </w:rPr>
              <w:t>Telehealth Provisioning</w:t>
            </w:r>
            <w:r w:rsidR="00917951" w:rsidRPr="002926E7">
              <w:rPr>
                <w:rFonts w:ascii="Times New Roman" w:hAnsi="Times New Roman" w:cs="Times New Roman"/>
                <w:i w:val="0"/>
                <w:iCs w:val="0"/>
                <w:noProof/>
                <w:webHidden/>
                <w:sz w:val="22"/>
                <w:szCs w:val="22"/>
              </w:rPr>
              <w:tab/>
            </w:r>
            <w:r w:rsidR="00917951">
              <w:rPr>
                <w:rFonts w:ascii="Times New Roman" w:hAnsi="Times New Roman" w:cs="Times New Roman"/>
                <w:i w:val="0"/>
                <w:iCs w:val="0"/>
                <w:noProof/>
                <w:webHidden/>
                <w:sz w:val="22"/>
                <w:szCs w:val="22"/>
              </w:rPr>
              <w:t>13</w:t>
            </w:r>
          </w:hyperlink>
        </w:p>
        <w:p w14:paraId="78202419" w14:textId="1C8ADF66" w:rsidR="00F87FC3" w:rsidRPr="00AF3E96" w:rsidRDefault="00723177" w:rsidP="00D8697E">
          <w:pPr>
            <w:pStyle w:val="TOC3"/>
            <w:tabs>
              <w:tab w:val="left" w:pos="880"/>
              <w:tab w:val="right" w:leader="dot" w:pos="9350"/>
            </w:tabs>
            <w:rPr>
              <w:rFonts w:ascii="Times New Roman" w:hAnsi="Times New Roman" w:cs="Times New Roman"/>
              <w:i w:val="0"/>
              <w:iCs w:val="0"/>
              <w:noProof/>
              <w:sz w:val="22"/>
              <w:szCs w:val="22"/>
            </w:rPr>
          </w:pPr>
          <w:hyperlink w:anchor="_Toc115353765" w:history="1">
            <w:r w:rsidR="00875493" w:rsidRPr="002926E7">
              <w:rPr>
                <w:rStyle w:val="Hyperlink"/>
                <w:rFonts w:ascii="Times New Roman" w:hAnsi="Times New Roman" w:cs="Times New Roman"/>
                <w:i w:val="0"/>
                <w:iCs w:val="0"/>
                <w:noProof/>
                <w:sz w:val="22"/>
                <w:szCs w:val="22"/>
              </w:rPr>
              <w:t>3.</w:t>
            </w:r>
            <w:r w:rsidR="00875493" w:rsidRPr="002926E7">
              <w:rPr>
                <w:rFonts w:ascii="Times New Roman" w:eastAsiaTheme="minorEastAsia" w:hAnsi="Times New Roman" w:cs="Times New Roman"/>
                <w:i w:val="0"/>
                <w:iCs w:val="0"/>
                <w:noProof/>
                <w:sz w:val="22"/>
                <w:szCs w:val="22"/>
              </w:rPr>
              <w:tab/>
            </w:r>
            <w:r w:rsidR="00875493" w:rsidRPr="002926E7">
              <w:rPr>
                <w:rStyle w:val="Hyperlink"/>
                <w:rFonts w:ascii="Times New Roman" w:hAnsi="Times New Roman" w:cs="Times New Roman"/>
                <w:i w:val="0"/>
                <w:iCs w:val="0"/>
                <w:noProof/>
                <w:sz w:val="22"/>
                <w:szCs w:val="22"/>
              </w:rPr>
              <w:t>Standardizing Telehealth Data, Interoperability and Application Programming Interfaces and Centralizing Telehealth</w:t>
            </w:r>
            <w:r w:rsidR="00875493" w:rsidRPr="002926E7">
              <w:rPr>
                <w:rFonts w:ascii="Times New Roman" w:hAnsi="Times New Roman" w:cs="Times New Roman"/>
                <w:i w:val="0"/>
                <w:iCs w:val="0"/>
                <w:noProof/>
                <w:webHidden/>
                <w:sz w:val="22"/>
                <w:szCs w:val="22"/>
              </w:rPr>
              <w:tab/>
            </w:r>
            <w:r w:rsidR="00875493">
              <w:rPr>
                <w:rFonts w:ascii="Times New Roman" w:hAnsi="Times New Roman" w:cs="Times New Roman"/>
                <w:i w:val="0"/>
                <w:iCs w:val="0"/>
                <w:noProof/>
                <w:webHidden/>
                <w:sz w:val="22"/>
                <w:szCs w:val="22"/>
              </w:rPr>
              <w:t>15</w:t>
            </w:r>
          </w:hyperlink>
        </w:p>
        <w:p w14:paraId="7733A8F5" w14:textId="5051C2EF" w:rsidR="002926E7" w:rsidRPr="002926E7" w:rsidRDefault="00723177">
          <w:pPr>
            <w:pStyle w:val="TOC2"/>
            <w:tabs>
              <w:tab w:val="left" w:pos="660"/>
              <w:tab w:val="right" w:leader="dot" w:pos="9350"/>
            </w:tabs>
            <w:rPr>
              <w:rFonts w:ascii="Times New Roman" w:eastAsiaTheme="minorEastAsia" w:hAnsi="Times New Roman" w:cs="Times New Roman"/>
              <w:smallCaps w:val="0"/>
              <w:noProof/>
              <w:sz w:val="22"/>
              <w:szCs w:val="22"/>
            </w:rPr>
          </w:pPr>
          <w:hyperlink w:anchor="_Toc115353766" w:history="1">
            <w:r w:rsidR="002F56BB" w:rsidRPr="002926E7">
              <w:rPr>
                <w:rStyle w:val="Hyperlink"/>
                <w:rFonts w:ascii="Times New Roman" w:hAnsi="Times New Roman" w:cs="Times New Roman"/>
                <w:noProof/>
                <w:sz w:val="22"/>
                <w:szCs w:val="22"/>
              </w:rPr>
              <w:t>E.</w:t>
            </w:r>
            <w:r w:rsidR="002F56BB" w:rsidRPr="002926E7">
              <w:rPr>
                <w:rFonts w:ascii="Times New Roman" w:eastAsiaTheme="minorEastAsia" w:hAnsi="Times New Roman" w:cs="Times New Roman"/>
                <w:smallCaps w:val="0"/>
                <w:noProof/>
                <w:sz w:val="22"/>
                <w:szCs w:val="22"/>
              </w:rPr>
              <w:tab/>
            </w:r>
            <w:r w:rsidR="002F56BB" w:rsidRPr="002926E7">
              <w:rPr>
                <w:rStyle w:val="Hyperlink"/>
                <w:rFonts w:ascii="Times New Roman" w:hAnsi="Times New Roman" w:cs="Times New Roman"/>
                <w:noProof/>
                <w:sz w:val="22"/>
                <w:szCs w:val="22"/>
              </w:rPr>
              <w:t>Centralizing Telehealth</w:t>
            </w:r>
            <w:r w:rsidR="002F56BB" w:rsidRPr="002926E7">
              <w:rPr>
                <w:rFonts w:ascii="Times New Roman" w:hAnsi="Times New Roman" w:cs="Times New Roman"/>
                <w:noProof/>
                <w:webHidden/>
                <w:sz w:val="22"/>
                <w:szCs w:val="22"/>
              </w:rPr>
              <w:tab/>
            </w:r>
            <w:r w:rsidR="002F56BB">
              <w:rPr>
                <w:rFonts w:ascii="Times New Roman" w:hAnsi="Times New Roman" w:cs="Times New Roman"/>
                <w:noProof/>
                <w:webHidden/>
                <w:sz w:val="22"/>
                <w:szCs w:val="22"/>
              </w:rPr>
              <w:t>16</w:t>
            </w:r>
          </w:hyperlink>
        </w:p>
        <w:p w14:paraId="13E5AB81" w14:textId="2F533FF1" w:rsidR="002926E7" w:rsidRPr="002926E7" w:rsidRDefault="00723177">
          <w:pPr>
            <w:pStyle w:val="TOC2"/>
            <w:tabs>
              <w:tab w:val="left" w:pos="660"/>
              <w:tab w:val="right" w:leader="dot" w:pos="9350"/>
            </w:tabs>
            <w:rPr>
              <w:rFonts w:ascii="Times New Roman" w:eastAsiaTheme="minorEastAsia" w:hAnsi="Times New Roman" w:cs="Times New Roman"/>
              <w:smallCaps w:val="0"/>
              <w:noProof/>
              <w:sz w:val="22"/>
              <w:szCs w:val="22"/>
            </w:rPr>
          </w:pPr>
          <w:hyperlink w:anchor="_Toc115353767" w:history="1">
            <w:r w:rsidR="00875493" w:rsidRPr="002926E7">
              <w:rPr>
                <w:rStyle w:val="Hyperlink"/>
                <w:rFonts w:ascii="Times New Roman" w:hAnsi="Times New Roman" w:cs="Times New Roman"/>
                <w:noProof/>
                <w:sz w:val="22"/>
                <w:szCs w:val="22"/>
              </w:rPr>
              <w:t>F.</w:t>
            </w:r>
            <w:r w:rsidR="00875493" w:rsidRPr="002926E7">
              <w:rPr>
                <w:rFonts w:ascii="Times New Roman" w:eastAsiaTheme="minorEastAsia" w:hAnsi="Times New Roman" w:cs="Times New Roman"/>
                <w:smallCaps w:val="0"/>
                <w:noProof/>
                <w:sz w:val="22"/>
                <w:szCs w:val="22"/>
              </w:rPr>
              <w:tab/>
            </w:r>
            <w:r w:rsidR="00875493" w:rsidRPr="002926E7">
              <w:rPr>
                <w:rStyle w:val="Hyperlink"/>
                <w:rFonts w:ascii="Times New Roman" w:hAnsi="Times New Roman" w:cs="Times New Roman"/>
                <w:noProof/>
                <w:sz w:val="22"/>
                <w:szCs w:val="22"/>
              </w:rPr>
              <w:t>Lack of Digital Literacy as a Threat to Health Equity</w:t>
            </w:r>
            <w:r w:rsidR="00875493" w:rsidRPr="002926E7">
              <w:rPr>
                <w:rFonts w:ascii="Times New Roman" w:hAnsi="Times New Roman" w:cs="Times New Roman"/>
                <w:noProof/>
                <w:webHidden/>
                <w:sz w:val="22"/>
                <w:szCs w:val="22"/>
              </w:rPr>
              <w:tab/>
            </w:r>
            <w:r w:rsidR="00875493">
              <w:rPr>
                <w:rFonts w:ascii="Times New Roman" w:hAnsi="Times New Roman" w:cs="Times New Roman"/>
                <w:noProof/>
                <w:webHidden/>
                <w:sz w:val="22"/>
                <w:szCs w:val="22"/>
              </w:rPr>
              <w:t>17</w:t>
            </w:r>
          </w:hyperlink>
        </w:p>
        <w:p w14:paraId="6CF127F0" w14:textId="27C8BCCC" w:rsidR="002926E7" w:rsidRPr="002926E7" w:rsidRDefault="00723177">
          <w:pPr>
            <w:pStyle w:val="TOC1"/>
            <w:tabs>
              <w:tab w:val="left" w:pos="660"/>
              <w:tab w:val="right" w:leader="dot" w:pos="9350"/>
            </w:tabs>
            <w:rPr>
              <w:rFonts w:ascii="Times New Roman" w:eastAsiaTheme="minorEastAsia" w:hAnsi="Times New Roman" w:cs="Times New Roman"/>
              <w:b w:val="0"/>
              <w:bCs w:val="0"/>
              <w:caps w:val="0"/>
              <w:noProof/>
              <w:sz w:val="22"/>
              <w:szCs w:val="22"/>
            </w:rPr>
          </w:pPr>
          <w:hyperlink w:anchor="_Toc115353768" w:history="1">
            <w:r w:rsidR="00875493" w:rsidRPr="002926E7">
              <w:rPr>
                <w:rStyle w:val="Hyperlink"/>
                <w:rFonts w:ascii="Times New Roman" w:hAnsi="Times New Roman" w:cs="Times New Roman"/>
                <w:noProof/>
                <w:sz w:val="22"/>
                <w:szCs w:val="22"/>
              </w:rPr>
              <w:t>IV.</w:t>
            </w:r>
            <w:r w:rsidR="00875493" w:rsidRPr="002926E7">
              <w:rPr>
                <w:rFonts w:ascii="Times New Roman" w:eastAsiaTheme="minorEastAsia" w:hAnsi="Times New Roman" w:cs="Times New Roman"/>
                <w:b w:val="0"/>
                <w:bCs w:val="0"/>
                <w:caps w:val="0"/>
                <w:noProof/>
                <w:sz w:val="22"/>
                <w:szCs w:val="22"/>
              </w:rPr>
              <w:tab/>
            </w:r>
            <w:r w:rsidR="00875493" w:rsidRPr="002926E7">
              <w:rPr>
                <w:rStyle w:val="Hyperlink"/>
                <w:rFonts w:ascii="Times New Roman" w:hAnsi="Times New Roman" w:cs="Times New Roman"/>
                <w:noProof/>
                <w:sz w:val="22"/>
                <w:szCs w:val="22"/>
              </w:rPr>
              <w:t>LESSONS LEARNED</w:t>
            </w:r>
            <w:r w:rsidR="00875493" w:rsidRPr="002926E7">
              <w:rPr>
                <w:rFonts w:ascii="Times New Roman" w:hAnsi="Times New Roman" w:cs="Times New Roman"/>
                <w:noProof/>
                <w:webHidden/>
                <w:sz w:val="22"/>
                <w:szCs w:val="22"/>
              </w:rPr>
              <w:tab/>
            </w:r>
            <w:r w:rsidR="00875493">
              <w:rPr>
                <w:rFonts w:ascii="Times New Roman" w:hAnsi="Times New Roman" w:cs="Times New Roman"/>
                <w:noProof/>
                <w:webHidden/>
                <w:sz w:val="22"/>
                <w:szCs w:val="22"/>
              </w:rPr>
              <w:t>17</w:t>
            </w:r>
          </w:hyperlink>
        </w:p>
        <w:p w14:paraId="7A96053D" w14:textId="5AFF9315" w:rsidR="002926E7" w:rsidRPr="002926E7" w:rsidRDefault="00723177">
          <w:pPr>
            <w:pStyle w:val="TOC2"/>
            <w:tabs>
              <w:tab w:val="left" w:pos="660"/>
              <w:tab w:val="right" w:leader="dot" w:pos="9350"/>
            </w:tabs>
            <w:rPr>
              <w:rFonts w:ascii="Times New Roman" w:eastAsiaTheme="minorEastAsia" w:hAnsi="Times New Roman" w:cs="Times New Roman"/>
              <w:smallCaps w:val="0"/>
              <w:noProof/>
              <w:sz w:val="22"/>
              <w:szCs w:val="22"/>
            </w:rPr>
          </w:pPr>
          <w:hyperlink w:anchor="_Toc115353769" w:history="1">
            <w:r w:rsidR="00875493" w:rsidRPr="002926E7">
              <w:rPr>
                <w:rStyle w:val="Hyperlink"/>
                <w:rFonts w:ascii="Times New Roman" w:hAnsi="Times New Roman" w:cs="Times New Roman"/>
                <w:noProof/>
                <w:sz w:val="22"/>
                <w:szCs w:val="22"/>
              </w:rPr>
              <w:t>A.</w:t>
            </w:r>
            <w:r w:rsidR="00875493" w:rsidRPr="002926E7">
              <w:rPr>
                <w:rFonts w:ascii="Times New Roman" w:eastAsiaTheme="minorEastAsia" w:hAnsi="Times New Roman" w:cs="Times New Roman"/>
                <w:smallCaps w:val="0"/>
                <w:noProof/>
                <w:sz w:val="22"/>
                <w:szCs w:val="22"/>
              </w:rPr>
              <w:tab/>
            </w:r>
            <w:r w:rsidR="00875493" w:rsidRPr="002926E7">
              <w:rPr>
                <w:rStyle w:val="Hyperlink"/>
                <w:rFonts w:ascii="Times New Roman" w:hAnsi="Times New Roman" w:cs="Times New Roman"/>
                <w:noProof/>
                <w:sz w:val="22"/>
                <w:szCs w:val="22"/>
              </w:rPr>
              <w:t>Implementation of COVID-19 Policies Eased Regulatory</w:t>
            </w:r>
            <w:r w:rsidR="00875493" w:rsidRPr="002926E7">
              <w:rPr>
                <w:rStyle w:val="Hyperlink"/>
                <w:rFonts w:ascii="Times New Roman" w:hAnsi="Times New Roman" w:cs="Times New Roman"/>
                <w:noProof/>
                <w:spacing w:val="-6"/>
                <w:sz w:val="22"/>
                <w:szCs w:val="22"/>
              </w:rPr>
              <w:t xml:space="preserve"> </w:t>
            </w:r>
            <w:r w:rsidR="00875493" w:rsidRPr="002926E7">
              <w:rPr>
                <w:rStyle w:val="Hyperlink"/>
                <w:rFonts w:ascii="Times New Roman" w:hAnsi="Times New Roman" w:cs="Times New Roman"/>
                <w:noProof/>
                <w:sz w:val="22"/>
                <w:szCs w:val="22"/>
              </w:rPr>
              <w:t>Barriers to Telehealth Services</w:t>
            </w:r>
            <w:r w:rsidR="00875493" w:rsidRPr="002926E7">
              <w:rPr>
                <w:rFonts w:ascii="Times New Roman" w:hAnsi="Times New Roman" w:cs="Times New Roman"/>
                <w:noProof/>
                <w:webHidden/>
                <w:sz w:val="22"/>
                <w:szCs w:val="22"/>
              </w:rPr>
              <w:tab/>
            </w:r>
            <w:r w:rsidR="00875493">
              <w:rPr>
                <w:rFonts w:ascii="Times New Roman" w:hAnsi="Times New Roman" w:cs="Times New Roman"/>
                <w:noProof/>
                <w:webHidden/>
                <w:sz w:val="22"/>
                <w:szCs w:val="22"/>
              </w:rPr>
              <w:t>17</w:t>
            </w:r>
          </w:hyperlink>
        </w:p>
        <w:p w14:paraId="6853FA75" w14:textId="19BA7695" w:rsidR="002926E7" w:rsidRPr="002926E7" w:rsidRDefault="00723177">
          <w:pPr>
            <w:pStyle w:val="TOC2"/>
            <w:tabs>
              <w:tab w:val="left" w:pos="660"/>
              <w:tab w:val="right" w:leader="dot" w:pos="9350"/>
            </w:tabs>
            <w:rPr>
              <w:rFonts w:ascii="Times New Roman" w:eastAsiaTheme="minorEastAsia" w:hAnsi="Times New Roman" w:cs="Times New Roman"/>
              <w:smallCaps w:val="0"/>
              <w:noProof/>
              <w:sz w:val="22"/>
              <w:szCs w:val="22"/>
            </w:rPr>
          </w:pPr>
          <w:hyperlink w:anchor="_Toc115353770" w:history="1">
            <w:r w:rsidR="00875493" w:rsidRPr="002926E7">
              <w:rPr>
                <w:rStyle w:val="Hyperlink"/>
                <w:rFonts w:ascii="Times New Roman" w:hAnsi="Times New Roman" w:cs="Times New Roman"/>
                <w:noProof/>
                <w:sz w:val="22"/>
                <w:szCs w:val="22"/>
              </w:rPr>
              <w:t>B.</w:t>
            </w:r>
            <w:r w:rsidR="00875493" w:rsidRPr="002926E7">
              <w:rPr>
                <w:rFonts w:ascii="Times New Roman" w:eastAsiaTheme="minorEastAsia" w:hAnsi="Times New Roman" w:cs="Times New Roman"/>
                <w:smallCaps w:val="0"/>
                <w:noProof/>
                <w:sz w:val="22"/>
                <w:szCs w:val="22"/>
              </w:rPr>
              <w:tab/>
            </w:r>
            <w:r w:rsidR="00875493" w:rsidRPr="002926E7">
              <w:rPr>
                <w:rStyle w:val="Hyperlink"/>
                <w:rFonts w:ascii="Times New Roman" w:hAnsi="Times New Roman" w:cs="Times New Roman"/>
                <w:noProof/>
                <w:sz w:val="22"/>
                <w:szCs w:val="22"/>
              </w:rPr>
              <w:t>Integrating Telehealth into Emergency Planning</w:t>
            </w:r>
            <w:r w:rsidR="00875493" w:rsidRPr="002926E7">
              <w:rPr>
                <w:rFonts w:ascii="Times New Roman" w:hAnsi="Times New Roman" w:cs="Times New Roman"/>
                <w:noProof/>
                <w:webHidden/>
                <w:sz w:val="22"/>
                <w:szCs w:val="22"/>
              </w:rPr>
              <w:tab/>
            </w:r>
            <w:r w:rsidR="00875493">
              <w:rPr>
                <w:rFonts w:ascii="Times New Roman" w:hAnsi="Times New Roman" w:cs="Times New Roman"/>
                <w:noProof/>
                <w:webHidden/>
                <w:sz w:val="22"/>
                <w:szCs w:val="22"/>
              </w:rPr>
              <w:t>19</w:t>
            </w:r>
          </w:hyperlink>
        </w:p>
        <w:p w14:paraId="78BC39BC" w14:textId="572EDD90" w:rsidR="002926E7" w:rsidRPr="002926E7" w:rsidRDefault="00723177">
          <w:pPr>
            <w:pStyle w:val="TOC1"/>
            <w:tabs>
              <w:tab w:val="left" w:pos="440"/>
              <w:tab w:val="right" w:leader="dot" w:pos="9350"/>
            </w:tabs>
            <w:rPr>
              <w:rFonts w:ascii="Times New Roman" w:eastAsiaTheme="minorEastAsia" w:hAnsi="Times New Roman" w:cs="Times New Roman"/>
              <w:b w:val="0"/>
              <w:bCs w:val="0"/>
              <w:caps w:val="0"/>
              <w:noProof/>
              <w:sz w:val="22"/>
              <w:szCs w:val="22"/>
            </w:rPr>
          </w:pPr>
          <w:hyperlink w:anchor="_Toc115353771" w:history="1">
            <w:r w:rsidR="00875493" w:rsidRPr="002926E7">
              <w:rPr>
                <w:rStyle w:val="Hyperlink"/>
                <w:rFonts w:ascii="Times New Roman" w:hAnsi="Times New Roman" w:cs="Times New Roman"/>
                <w:noProof/>
                <w:sz w:val="22"/>
                <w:szCs w:val="22"/>
              </w:rPr>
              <w:t>V.</w:t>
            </w:r>
            <w:r w:rsidR="00875493" w:rsidRPr="002926E7">
              <w:rPr>
                <w:rFonts w:ascii="Times New Roman" w:eastAsiaTheme="minorEastAsia" w:hAnsi="Times New Roman" w:cs="Times New Roman"/>
                <w:b w:val="0"/>
                <w:bCs w:val="0"/>
                <w:caps w:val="0"/>
                <w:noProof/>
                <w:sz w:val="22"/>
                <w:szCs w:val="22"/>
              </w:rPr>
              <w:tab/>
            </w:r>
            <w:r w:rsidR="00875493" w:rsidRPr="002926E7">
              <w:rPr>
                <w:rStyle w:val="Hyperlink"/>
                <w:rFonts w:ascii="Times New Roman" w:hAnsi="Times New Roman" w:cs="Times New Roman"/>
                <w:noProof/>
                <w:sz w:val="22"/>
                <w:szCs w:val="22"/>
              </w:rPr>
              <w:t>SELECTED CASE STUDIES</w:t>
            </w:r>
            <w:r w:rsidR="00875493" w:rsidRPr="002926E7">
              <w:rPr>
                <w:rFonts w:ascii="Times New Roman" w:hAnsi="Times New Roman" w:cs="Times New Roman"/>
                <w:noProof/>
                <w:webHidden/>
                <w:sz w:val="22"/>
                <w:szCs w:val="22"/>
              </w:rPr>
              <w:tab/>
            </w:r>
            <w:r w:rsidR="00875493">
              <w:rPr>
                <w:rFonts w:ascii="Times New Roman" w:hAnsi="Times New Roman" w:cs="Times New Roman"/>
                <w:noProof/>
                <w:webHidden/>
                <w:sz w:val="22"/>
                <w:szCs w:val="22"/>
              </w:rPr>
              <w:t>20</w:t>
            </w:r>
          </w:hyperlink>
        </w:p>
        <w:p w14:paraId="67FFDC54" w14:textId="3BF6D0A1" w:rsidR="002926E7" w:rsidRPr="002926E7" w:rsidRDefault="00723177">
          <w:pPr>
            <w:pStyle w:val="TOC2"/>
            <w:tabs>
              <w:tab w:val="left" w:pos="660"/>
              <w:tab w:val="right" w:leader="dot" w:pos="9350"/>
            </w:tabs>
            <w:rPr>
              <w:rFonts w:ascii="Times New Roman" w:eastAsiaTheme="minorEastAsia" w:hAnsi="Times New Roman" w:cs="Times New Roman"/>
              <w:smallCaps w:val="0"/>
              <w:noProof/>
              <w:sz w:val="22"/>
              <w:szCs w:val="22"/>
            </w:rPr>
          </w:pPr>
          <w:hyperlink w:anchor="_Toc115353772" w:history="1">
            <w:r w:rsidR="00875493" w:rsidRPr="002926E7">
              <w:rPr>
                <w:rStyle w:val="Hyperlink"/>
                <w:rFonts w:ascii="Times New Roman" w:hAnsi="Times New Roman" w:cs="Times New Roman"/>
                <w:noProof/>
                <w:sz w:val="22"/>
                <w:szCs w:val="22"/>
              </w:rPr>
              <w:t>A.</w:t>
            </w:r>
            <w:r w:rsidR="00875493" w:rsidRPr="002926E7">
              <w:rPr>
                <w:rFonts w:ascii="Times New Roman" w:eastAsiaTheme="minorEastAsia" w:hAnsi="Times New Roman" w:cs="Times New Roman"/>
                <w:smallCaps w:val="0"/>
                <w:noProof/>
                <w:sz w:val="22"/>
                <w:szCs w:val="22"/>
              </w:rPr>
              <w:tab/>
            </w:r>
            <w:r w:rsidR="00875493" w:rsidRPr="002926E7">
              <w:rPr>
                <w:rStyle w:val="Hyperlink"/>
                <w:rFonts w:ascii="Times New Roman" w:hAnsi="Times New Roman" w:cs="Times New Roman"/>
                <w:noProof/>
                <w:sz w:val="22"/>
                <w:szCs w:val="22"/>
              </w:rPr>
              <w:t>Ohio Telehealth Case Studies</w:t>
            </w:r>
            <w:r w:rsidR="00875493" w:rsidRPr="002926E7">
              <w:rPr>
                <w:rFonts w:ascii="Times New Roman" w:hAnsi="Times New Roman" w:cs="Times New Roman"/>
                <w:noProof/>
                <w:webHidden/>
                <w:sz w:val="22"/>
                <w:szCs w:val="22"/>
              </w:rPr>
              <w:tab/>
            </w:r>
            <w:r w:rsidR="00875493">
              <w:rPr>
                <w:rFonts w:ascii="Times New Roman" w:hAnsi="Times New Roman" w:cs="Times New Roman"/>
                <w:noProof/>
                <w:webHidden/>
                <w:sz w:val="22"/>
                <w:szCs w:val="22"/>
              </w:rPr>
              <w:t>20</w:t>
            </w:r>
          </w:hyperlink>
        </w:p>
        <w:p w14:paraId="5DB4663E" w14:textId="09B68BB2" w:rsidR="002926E7" w:rsidRPr="002926E7" w:rsidRDefault="00723177">
          <w:pPr>
            <w:pStyle w:val="TOC2"/>
            <w:tabs>
              <w:tab w:val="left" w:pos="660"/>
              <w:tab w:val="right" w:leader="dot" w:pos="9350"/>
            </w:tabs>
            <w:rPr>
              <w:rFonts w:ascii="Times New Roman" w:eastAsiaTheme="minorEastAsia" w:hAnsi="Times New Roman" w:cs="Times New Roman"/>
              <w:smallCaps w:val="0"/>
              <w:noProof/>
              <w:sz w:val="22"/>
              <w:szCs w:val="22"/>
            </w:rPr>
          </w:pPr>
          <w:hyperlink w:anchor="_Toc115353773" w:history="1">
            <w:r w:rsidR="00875493" w:rsidRPr="002926E7">
              <w:rPr>
                <w:rStyle w:val="Hyperlink"/>
                <w:rFonts w:ascii="Times New Roman" w:hAnsi="Times New Roman" w:cs="Times New Roman"/>
                <w:bCs/>
                <w:noProof/>
                <w:sz w:val="22"/>
                <w:szCs w:val="22"/>
              </w:rPr>
              <w:t>B.</w:t>
            </w:r>
            <w:r w:rsidR="00875493" w:rsidRPr="002926E7">
              <w:rPr>
                <w:rFonts w:ascii="Times New Roman" w:eastAsiaTheme="minorEastAsia" w:hAnsi="Times New Roman" w:cs="Times New Roman"/>
                <w:smallCaps w:val="0"/>
                <w:noProof/>
                <w:sz w:val="22"/>
                <w:szCs w:val="22"/>
              </w:rPr>
              <w:tab/>
            </w:r>
            <w:r w:rsidR="00875493" w:rsidRPr="002926E7">
              <w:rPr>
                <w:rStyle w:val="Hyperlink"/>
                <w:rFonts w:ascii="Times New Roman" w:hAnsi="Times New Roman" w:cs="Times New Roman"/>
                <w:noProof/>
                <w:sz w:val="22"/>
                <w:szCs w:val="22"/>
              </w:rPr>
              <w:t>Michigan Digital Literacy Case Study</w:t>
            </w:r>
            <w:r w:rsidR="00875493" w:rsidRPr="002926E7">
              <w:rPr>
                <w:rFonts w:ascii="Times New Roman" w:hAnsi="Times New Roman" w:cs="Times New Roman"/>
                <w:noProof/>
                <w:webHidden/>
                <w:sz w:val="22"/>
                <w:szCs w:val="22"/>
              </w:rPr>
              <w:tab/>
            </w:r>
            <w:r w:rsidR="00875493">
              <w:rPr>
                <w:rFonts w:ascii="Times New Roman" w:hAnsi="Times New Roman" w:cs="Times New Roman"/>
                <w:noProof/>
                <w:webHidden/>
                <w:sz w:val="22"/>
                <w:szCs w:val="22"/>
              </w:rPr>
              <w:t>21</w:t>
            </w:r>
          </w:hyperlink>
        </w:p>
        <w:p w14:paraId="6CC34FA8" w14:textId="6A3DA626" w:rsidR="002926E7" w:rsidRPr="002926E7" w:rsidRDefault="00723177">
          <w:pPr>
            <w:pStyle w:val="TOC1"/>
            <w:tabs>
              <w:tab w:val="left" w:pos="660"/>
              <w:tab w:val="right" w:leader="dot" w:pos="9350"/>
            </w:tabs>
            <w:rPr>
              <w:rFonts w:ascii="Times New Roman" w:eastAsiaTheme="minorEastAsia" w:hAnsi="Times New Roman" w:cs="Times New Roman"/>
              <w:b w:val="0"/>
              <w:bCs w:val="0"/>
              <w:caps w:val="0"/>
              <w:noProof/>
              <w:sz w:val="22"/>
              <w:szCs w:val="22"/>
            </w:rPr>
          </w:pPr>
          <w:hyperlink w:anchor="_Toc115353774" w:history="1">
            <w:r w:rsidR="00875493" w:rsidRPr="002926E7">
              <w:rPr>
                <w:rStyle w:val="Hyperlink"/>
                <w:rFonts w:ascii="Times New Roman" w:hAnsi="Times New Roman" w:cs="Times New Roman"/>
                <w:noProof/>
                <w:sz w:val="22"/>
                <w:szCs w:val="22"/>
              </w:rPr>
              <w:t>VI.</w:t>
            </w:r>
            <w:r w:rsidR="00875493" w:rsidRPr="002926E7">
              <w:rPr>
                <w:rFonts w:ascii="Times New Roman" w:eastAsiaTheme="minorEastAsia" w:hAnsi="Times New Roman" w:cs="Times New Roman"/>
                <w:b w:val="0"/>
                <w:bCs w:val="0"/>
                <w:caps w:val="0"/>
                <w:noProof/>
                <w:sz w:val="22"/>
                <w:szCs w:val="22"/>
              </w:rPr>
              <w:tab/>
            </w:r>
            <w:r w:rsidR="00875493" w:rsidRPr="002926E7">
              <w:rPr>
                <w:rStyle w:val="Hyperlink"/>
                <w:rFonts w:ascii="Times New Roman" w:hAnsi="Times New Roman" w:cs="Times New Roman"/>
                <w:noProof/>
                <w:sz w:val="22"/>
                <w:szCs w:val="22"/>
              </w:rPr>
              <w:t>CONCLUSION</w:t>
            </w:r>
            <w:r w:rsidR="00875493" w:rsidRPr="002926E7">
              <w:rPr>
                <w:rStyle w:val="Hyperlink"/>
                <w:rFonts w:ascii="Times New Roman" w:hAnsi="Times New Roman" w:cs="Times New Roman"/>
                <w:noProof/>
                <w:spacing w:val="-4"/>
                <w:sz w:val="22"/>
                <w:szCs w:val="22"/>
              </w:rPr>
              <w:t xml:space="preserve"> </w:t>
            </w:r>
            <w:r w:rsidR="00875493" w:rsidRPr="002926E7">
              <w:rPr>
                <w:rStyle w:val="Hyperlink"/>
                <w:rFonts w:ascii="Times New Roman" w:hAnsi="Times New Roman" w:cs="Times New Roman"/>
                <w:noProof/>
                <w:sz w:val="22"/>
                <w:szCs w:val="22"/>
              </w:rPr>
              <w:t>AND</w:t>
            </w:r>
            <w:r w:rsidR="00875493" w:rsidRPr="002926E7">
              <w:rPr>
                <w:rStyle w:val="Hyperlink"/>
                <w:rFonts w:ascii="Times New Roman" w:hAnsi="Times New Roman" w:cs="Times New Roman"/>
                <w:noProof/>
                <w:spacing w:val="-5"/>
                <w:sz w:val="22"/>
                <w:szCs w:val="22"/>
              </w:rPr>
              <w:t xml:space="preserve"> </w:t>
            </w:r>
            <w:r w:rsidR="00875493" w:rsidRPr="002926E7">
              <w:rPr>
                <w:rStyle w:val="Hyperlink"/>
                <w:rFonts w:ascii="Times New Roman" w:hAnsi="Times New Roman" w:cs="Times New Roman"/>
                <w:noProof/>
                <w:sz w:val="22"/>
                <w:szCs w:val="22"/>
              </w:rPr>
              <w:t>RECOMMENDATIONS</w:t>
            </w:r>
            <w:r w:rsidR="00875493" w:rsidRPr="002926E7">
              <w:rPr>
                <w:rFonts w:ascii="Times New Roman" w:hAnsi="Times New Roman" w:cs="Times New Roman"/>
                <w:noProof/>
                <w:webHidden/>
                <w:sz w:val="22"/>
                <w:szCs w:val="22"/>
              </w:rPr>
              <w:tab/>
            </w:r>
            <w:r w:rsidR="00875493">
              <w:rPr>
                <w:rFonts w:ascii="Times New Roman" w:hAnsi="Times New Roman" w:cs="Times New Roman"/>
                <w:noProof/>
                <w:webHidden/>
                <w:sz w:val="22"/>
                <w:szCs w:val="22"/>
              </w:rPr>
              <w:t>22</w:t>
            </w:r>
          </w:hyperlink>
        </w:p>
        <w:p w14:paraId="1BD3D8E5" w14:textId="5A1BF6CA" w:rsidR="002926E7" w:rsidRPr="002926E7" w:rsidRDefault="00723177">
          <w:pPr>
            <w:pStyle w:val="TOC2"/>
            <w:tabs>
              <w:tab w:val="left" w:pos="660"/>
              <w:tab w:val="right" w:leader="dot" w:pos="9350"/>
            </w:tabs>
            <w:rPr>
              <w:rFonts w:ascii="Times New Roman" w:eastAsiaTheme="minorEastAsia" w:hAnsi="Times New Roman" w:cs="Times New Roman"/>
              <w:smallCaps w:val="0"/>
              <w:noProof/>
              <w:sz w:val="22"/>
              <w:szCs w:val="22"/>
            </w:rPr>
          </w:pPr>
          <w:hyperlink w:anchor="_Toc115353775" w:history="1">
            <w:r w:rsidR="00875493" w:rsidRPr="002926E7">
              <w:rPr>
                <w:rStyle w:val="Hyperlink"/>
                <w:rFonts w:ascii="Times New Roman" w:hAnsi="Times New Roman" w:cs="Times New Roman"/>
                <w:noProof/>
                <w:sz w:val="22"/>
                <w:szCs w:val="22"/>
              </w:rPr>
              <w:t>A.</w:t>
            </w:r>
            <w:r w:rsidR="00875493" w:rsidRPr="002926E7">
              <w:rPr>
                <w:rFonts w:ascii="Times New Roman" w:eastAsiaTheme="minorEastAsia" w:hAnsi="Times New Roman" w:cs="Times New Roman"/>
                <w:smallCaps w:val="0"/>
                <w:noProof/>
                <w:sz w:val="22"/>
                <w:szCs w:val="22"/>
              </w:rPr>
              <w:tab/>
            </w:r>
            <w:r w:rsidR="00875493" w:rsidRPr="002926E7">
              <w:rPr>
                <w:rStyle w:val="Hyperlink"/>
                <w:rFonts w:ascii="Times New Roman" w:hAnsi="Times New Roman" w:cs="Times New Roman"/>
                <w:noProof/>
                <w:sz w:val="22"/>
                <w:szCs w:val="22"/>
              </w:rPr>
              <w:t>Regulatory</w:t>
            </w:r>
            <w:r w:rsidR="00875493" w:rsidRPr="002926E7">
              <w:rPr>
                <w:rStyle w:val="Hyperlink"/>
                <w:rFonts w:ascii="Times New Roman" w:hAnsi="Times New Roman" w:cs="Times New Roman"/>
                <w:noProof/>
                <w:spacing w:val="-4"/>
                <w:sz w:val="22"/>
                <w:szCs w:val="22"/>
              </w:rPr>
              <w:t xml:space="preserve"> </w:t>
            </w:r>
            <w:r w:rsidR="00875493" w:rsidRPr="002926E7">
              <w:rPr>
                <w:rStyle w:val="Hyperlink"/>
                <w:rFonts w:ascii="Times New Roman" w:hAnsi="Times New Roman" w:cs="Times New Roman"/>
                <w:noProof/>
                <w:sz w:val="22"/>
                <w:szCs w:val="22"/>
              </w:rPr>
              <w:t>Recommendations for the FCC</w:t>
            </w:r>
            <w:r w:rsidR="00875493" w:rsidRPr="002926E7">
              <w:rPr>
                <w:rFonts w:ascii="Times New Roman" w:hAnsi="Times New Roman" w:cs="Times New Roman"/>
                <w:noProof/>
                <w:webHidden/>
                <w:sz w:val="22"/>
                <w:szCs w:val="22"/>
              </w:rPr>
              <w:tab/>
            </w:r>
            <w:r w:rsidR="00875493">
              <w:rPr>
                <w:rFonts w:ascii="Times New Roman" w:hAnsi="Times New Roman" w:cs="Times New Roman"/>
                <w:noProof/>
                <w:webHidden/>
                <w:sz w:val="22"/>
                <w:szCs w:val="22"/>
              </w:rPr>
              <w:t>22</w:t>
            </w:r>
          </w:hyperlink>
        </w:p>
        <w:p w14:paraId="29347C38" w14:textId="0B0402AF" w:rsidR="002926E7" w:rsidRPr="002926E7" w:rsidRDefault="00723177">
          <w:pPr>
            <w:pStyle w:val="TOC2"/>
            <w:tabs>
              <w:tab w:val="left" w:pos="660"/>
              <w:tab w:val="right" w:leader="dot" w:pos="9350"/>
            </w:tabs>
            <w:rPr>
              <w:rFonts w:ascii="Times New Roman" w:eastAsiaTheme="minorEastAsia" w:hAnsi="Times New Roman" w:cs="Times New Roman"/>
              <w:smallCaps w:val="0"/>
              <w:noProof/>
              <w:sz w:val="22"/>
              <w:szCs w:val="22"/>
            </w:rPr>
          </w:pPr>
          <w:hyperlink w:anchor="_Toc115353776" w:history="1">
            <w:r w:rsidR="00875493" w:rsidRPr="002926E7">
              <w:rPr>
                <w:rStyle w:val="Hyperlink"/>
                <w:rFonts w:ascii="Times New Roman" w:hAnsi="Times New Roman" w:cs="Times New Roman"/>
                <w:noProof/>
                <w:sz w:val="22"/>
                <w:szCs w:val="22"/>
              </w:rPr>
              <w:t>B.</w:t>
            </w:r>
            <w:r w:rsidR="00875493" w:rsidRPr="002926E7">
              <w:rPr>
                <w:rFonts w:ascii="Times New Roman" w:eastAsiaTheme="minorEastAsia" w:hAnsi="Times New Roman" w:cs="Times New Roman"/>
                <w:smallCaps w:val="0"/>
                <w:noProof/>
                <w:sz w:val="22"/>
                <w:szCs w:val="22"/>
              </w:rPr>
              <w:tab/>
            </w:r>
            <w:r w:rsidR="00875493" w:rsidRPr="002926E7">
              <w:rPr>
                <w:rStyle w:val="Hyperlink"/>
                <w:rFonts w:ascii="Times New Roman" w:hAnsi="Times New Roman" w:cs="Times New Roman"/>
                <w:noProof/>
                <w:sz w:val="22"/>
                <w:szCs w:val="22"/>
              </w:rPr>
              <w:t>Regulatory</w:t>
            </w:r>
            <w:r w:rsidR="00875493" w:rsidRPr="002926E7">
              <w:rPr>
                <w:rStyle w:val="Hyperlink"/>
                <w:rFonts w:ascii="Times New Roman" w:hAnsi="Times New Roman" w:cs="Times New Roman"/>
                <w:noProof/>
                <w:spacing w:val="-4"/>
                <w:sz w:val="22"/>
                <w:szCs w:val="22"/>
              </w:rPr>
              <w:t xml:space="preserve"> </w:t>
            </w:r>
            <w:r w:rsidR="00875493" w:rsidRPr="002926E7">
              <w:rPr>
                <w:rStyle w:val="Hyperlink"/>
                <w:rFonts w:ascii="Times New Roman" w:hAnsi="Times New Roman" w:cs="Times New Roman"/>
                <w:noProof/>
                <w:sz w:val="22"/>
                <w:szCs w:val="22"/>
              </w:rPr>
              <w:t xml:space="preserve">Recommendations for the Department of Health and Human Services (HHS) and </w:t>
            </w:r>
            <w:r w:rsidR="00875493" w:rsidRPr="002926E7">
              <w:rPr>
                <w:rStyle w:val="Hyperlink"/>
                <w:rFonts w:ascii="Times New Roman" w:hAnsi="Times New Roman" w:cs="Times New Roman"/>
                <w:noProof/>
                <w:sz w:val="22"/>
                <w:szCs w:val="22"/>
                <w:shd w:val="clear" w:color="auto" w:fill="FFFFFF"/>
              </w:rPr>
              <w:t>the Centers for Medicare &amp; Medicaid Services (CMS)</w:t>
            </w:r>
            <w:r w:rsidR="00875493" w:rsidRPr="002926E7">
              <w:rPr>
                <w:rFonts w:ascii="Times New Roman" w:hAnsi="Times New Roman" w:cs="Times New Roman"/>
                <w:noProof/>
                <w:webHidden/>
                <w:sz w:val="22"/>
                <w:szCs w:val="22"/>
              </w:rPr>
              <w:tab/>
            </w:r>
            <w:r w:rsidR="00875493">
              <w:rPr>
                <w:rFonts w:ascii="Times New Roman" w:hAnsi="Times New Roman" w:cs="Times New Roman"/>
                <w:noProof/>
                <w:webHidden/>
                <w:sz w:val="22"/>
                <w:szCs w:val="22"/>
              </w:rPr>
              <w:t>23</w:t>
            </w:r>
          </w:hyperlink>
        </w:p>
        <w:p w14:paraId="5D8E3E91" w14:textId="33E7A4F4" w:rsidR="002926E7" w:rsidRPr="002926E7" w:rsidRDefault="00723177">
          <w:pPr>
            <w:pStyle w:val="TOC2"/>
            <w:tabs>
              <w:tab w:val="left" w:pos="660"/>
              <w:tab w:val="right" w:leader="dot" w:pos="9350"/>
            </w:tabs>
            <w:rPr>
              <w:rFonts w:ascii="Times New Roman" w:eastAsiaTheme="minorEastAsia" w:hAnsi="Times New Roman" w:cs="Times New Roman"/>
              <w:smallCaps w:val="0"/>
              <w:noProof/>
              <w:sz w:val="22"/>
              <w:szCs w:val="22"/>
            </w:rPr>
          </w:pPr>
          <w:hyperlink w:anchor="_Toc115353777" w:history="1">
            <w:r w:rsidR="00875493" w:rsidRPr="002926E7">
              <w:rPr>
                <w:rStyle w:val="Hyperlink"/>
                <w:rFonts w:ascii="Times New Roman" w:hAnsi="Times New Roman" w:cs="Times New Roman"/>
                <w:noProof/>
                <w:sz w:val="22"/>
                <w:szCs w:val="22"/>
              </w:rPr>
              <w:t>C.</w:t>
            </w:r>
            <w:r w:rsidR="00875493" w:rsidRPr="002926E7">
              <w:rPr>
                <w:rFonts w:ascii="Times New Roman" w:eastAsiaTheme="minorEastAsia" w:hAnsi="Times New Roman" w:cs="Times New Roman"/>
                <w:smallCaps w:val="0"/>
                <w:noProof/>
                <w:sz w:val="22"/>
                <w:szCs w:val="22"/>
              </w:rPr>
              <w:tab/>
            </w:r>
            <w:r w:rsidR="00875493" w:rsidRPr="002926E7">
              <w:rPr>
                <w:rStyle w:val="Hyperlink"/>
                <w:rFonts w:ascii="Times New Roman" w:hAnsi="Times New Roman" w:cs="Times New Roman"/>
                <w:noProof/>
                <w:sz w:val="22"/>
                <w:szCs w:val="22"/>
              </w:rPr>
              <w:t>Regulatory</w:t>
            </w:r>
            <w:r w:rsidR="00875493" w:rsidRPr="002926E7">
              <w:rPr>
                <w:rStyle w:val="Hyperlink"/>
                <w:rFonts w:ascii="Times New Roman" w:hAnsi="Times New Roman" w:cs="Times New Roman"/>
                <w:noProof/>
                <w:spacing w:val="-4"/>
                <w:sz w:val="22"/>
                <w:szCs w:val="22"/>
              </w:rPr>
              <w:t xml:space="preserve"> </w:t>
            </w:r>
            <w:r w:rsidR="00875493" w:rsidRPr="002926E7">
              <w:rPr>
                <w:rStyle w:val="Hyperlink"/>
                <w:rFonts w:ascii="Times New Roman" w:hAnsi="Times New Roman" w:cs="Times New Roman"/>
                <w:noProof/>
                <w:sz w:val="22"/>
                <w:szCs w:val="22"/>
              </w:rPr>
              <w:t>Recommendations for the States</w:t>
            </w:r>
            <w:r w:rsidR="00875493" w:rsidRPr="002926E7">
              <w:rPr>
                <w:rFonts w:ascii="Times New Roman" w:hAnsi="Times New Roman" w:cs="Times New Roman"/>
                <w:noProof/>
                <w:webHidden/>
                <w:sz w:val="22"/>
                <w:szCs w:val="22"/>
              </w:rPr>
              <w:tab/>
            </w:r>
            <w:r w:rsidR="00875493">
              <w:rPr>
                <w:rFonts w:ascii="Times New Roman" w:hAnsi="Times New Roman" w:cs="Times New Roman"/>
                <w:noProof/>
                <w:webHidden/>
                <w:sz w:val="22"/>
                <w:szCs w:val="22"/>
              </w:rPr>
              <w:t>23</w:t>
            </w:r>
          </w:hyperlink>
        </w:p>
        <w:p w14:paraId="350332CB" w14:textId="58AFF304" w:rsidR="002926E7" w:rsidRPr="002926E7" w:rsidRDefault="00723177">
          <w:pPr>
            <w:pStyle w:val="TOC2"/>
            <w:tabs>
              <w:tab w:val="left" w:pos="660"/>
              <w:tab w:val="right" w:leader="dot" w:pos="9350"/>
            </w:tabs>
            <w:rPr>
              <w:rFonts w:ascii="Times New Roman" w:eastAsiaTheme="minorEastAsia" w:hAnsi="Times New Roman" w:cs="Times New Roman"/>
              <w:smallCaps w:val="0"/>
              <w:noProof/>
              <w:sz w:val="22"/>
              <w:szCs w:val="22"/>
            </w:rPr>
          </w:pPr>
          <w:hyperlink w:anchor="_Toc115353778" w:history="1">
            <w:r w:rsidR="00875493" w:rsidRPr="002926E7">
              <w:rPr>
                <w:rStyle w:val="Hyperlink"/>
                <w:rFonts w:ascii="Times New Roman" w:hAnsi="Times New Roman" w:cs="Times New Roman"/>
                <w:noProof/>
                <w:sz w:val="22"/>
                <w:szCs w:val="22"/>
              </w:rPr>
              <w:t>D.</w:t>
            </w:r>
            <w:r w:rsidR="00875493" w:rsidRPr="002926E7">
              <w:rPr>
                <w:rFonts w:ascii="Times New Roman" w:eastAsiaTheme="minorEastAsia" w:hAnsi="Times New Roman" w:cs="Times New Roman"/>
                <w:smallCaps w:val="0"/>
                <w:noProof/>
                <w:sz w:val="22"/>
                <w:szCs w:val="22"/>
              </w:rPr>
              <w:tab/>
            </w:r>
            <w:r w:rsidR="00875493" w:rsidRPr="002926E7">
              <w:rPr>
                <w:rStyle w:val="Hyperlink"/>
                <w:rFonts w:ascii="Times New Roman" w:hAnsi="Times New Roman" w:cs="Times New Roman"/>
                <w:noProof/>
                <w:sz w:val="22"/>
                <w:szCs w:val="22"/>
              </w:rPr>
              <w:t>Recommendations for Telehealth on Tribal Lands</w:t>
            </w:r>
            <w:r w:rsidR="00875493" w:rsidRPr="002926E7">
              <w:rPr>
                <w:rFonts w:ascii="Times New Roman" w:hAnsi="Times New Roman" w:cs="Times New Roman"/>
                <w:noProof/>
                <w:webHidden/>
                <w:sz w:val="22"/>
                <w:szCs w:val="22"/>
              </w:rPr>
              <w:tab/>
            </w:r>
            <w:r w:rsidR="00875493">
              <w:rPr>
                <w:rFonts w:ascii="Times New Roman" w:hAnsi="Times New Roman" w:cs="Times New Roman"/>
                <w:noProof/>
                <w:webHidden/>
                <w:sz w:val="22"/>
                <w:szCs w:val="22"/>
              </w:rPr>
              <w:t>23</w:t>
            </w:r>
          </w:hyperlink>
        </w:p>
        <w:p w14:paraId="56C061B9" w14:textId="28ED67AB" w:rsidR="002926E7" w:rsidRPr="002926E7" w:rsidRDefault="00723177">
          <w:pPr>
            <w:pStyle w:val="TOC2"/>
            <w:tabs>
              <w:tab w:val="left" w:pos="660"/>
              <w:tab w:val="right" w:leader="dot" w:pos="9350"/>
            </w:tabs>
            <w:rPr>
              <w:rFonts w:ascii="Times New Roman" w:eastAsiaTheme="minorEastAsia" w:hAnsi="Times New Roman" w:cs="Times New Roman"/>
              <w:smallCaps w:val="0"/>
              <w:noProof/>
              <w:sz w:val="22"/>
              <w:szCs w:val="22"/>
            </w:rPr>
          </w:pPr>
          <w:hyperlink w:anchor="_Toc115353779" w:history="1">
            <w:r w:rsidR="00875493" w:rsidRPr="002926E7">
              <w:rPr>
                <w:rStyle w:val="Hyperlink"/>
                <w:rFonts w:ascii="Times New Roman" w:hAnsi="Times New Roman" w:cs="Times New Roman"/>
                <w:noProof/>
                <w:sz w:val="22"/>
                <w:szCs w:val="22"/>
              </w:rPr>
              <w:t>E.</w:t>
            </w:r>
            <w:r w:rsidR="00875493" w:rsidRPr="002926E7">
              <w:rPr>
                <w:rFonts w:ascii="Times New Roman" w:eastAsiaTheme="minorEastAsia" w:hAnsi="Times New Roman" w:cs="Times New Roman"/>
                <w:smallCaps w:val="0"/>
                <w:noProof/>
                <w:sz w:val="22"/>
                <w:szCs w:val="22"/>
              </w:rPr>
              <w:tab/>
            </w:r>
            <w:r w:rsidR="00875493" w:rsidRPr="002926E7">
              <w:rPr>
                <w:rStyle w:val="Hyperlink"/>
                <w:rFonts w:ascii="Times New Roman" w:hAnsi="Times New Roman" w:cs="Times New Roman"/>
                <w:noProof/>
                <w:sz w:val="22"/>
                <w:szCs w:val="22"/>
              </w:rPr>
              <w:t>Recommendations on Improving Digital Literacy</w:t>
            </w:r>
            <w:r w:rsidR="00875493" w:rsidRPr="002926E7">
              <w:rPr>
                <w:rFonts w:ascii="Times New Roman" w:hAnsi="Times New Roman" w:cs="Times New Roman"/>
                <w:noProof/>
                <w:webHidden/>
                <w:sz w:val="22"/>
                <w:szCs w:val="22"/>
              </w:rPr>
              <w:tab/>
            </w:r>
            <w:r w:rsidR="00875493">
              <w:rPr>
                <w:rFonts w:ascii="Times New Roman" w:hAnsi="Times New Roman" w:cs="Times New Roman"/>
                <w:noProof/>
                <w:webHidden/>
                <w:sz w:val="22"/>
                <w:szCs w:val="22"/>
              </w:rPr>
              <w:t>24</w:t>
            </w:r>
          </w:hyperlink>
        </w:p>
        <w:p w14:paraId="2D71D717" w14:textId="2860E6B6" w:rsidR="002926E7" w:rsidRPr="002926E7" w:rsidRDefault="00723177">
          <w:pPr>
            <w:pStyle w:val="TOC2"/>
            <w:tabs>
              <w:tab w:val="left" w:pos="660"/>
              <w:tab w:val="right" w:leader="dot" w:pos="9350"/>
            </w:tabs>
            <w:rPr>
              <w:rFonts w:ascii="Times New Roman" w:eastAsiaTheme="minorEastAsia" w:hAnsi="Times New Roman" w:cs="Times New Roman"/>
              <w:smallCaps w:val="0"/>
              <w:noProof/>
              <w:sz w:val="22"/>
              <w:szCs w:val="22"/>
            </w:rPr>
          </w:pPr>
          <w:hyperlink w:anchor="_Toc115353780" w:history="1">
            <w:r w:rsidR="00875493" w:rsidRPr="002926E7">
              <w:rPr>
                <w:rStyle w:val="Hyperlink"/>
                <w:rFonts w:ascii="Times New Roman" w:hAnsi="Times New Roman" w:cs="Times New Roman"/>
                <w:noProof/>
                <w:sz w:val="22"/>
                <w:szCs w:val="22"/>
              </w:rPr>
              <w:t>F.</w:t>
            </w:r>
            <w:r w:rsidR="00875493" w:rsidRPr="002926E7">
              <w:rPr>
                <w:rFonts w:ascii="Times New Roman" w:eastAsiaTheme="minorEastAsia" w:hAnsi="Times New Roman" w:cs="Times New Roman"/>
                <w:smallCaps w:val="0"/>
                <w:noProof/>
                <w:sz w:val="22"/>
                <w:szCs w:val="22"/>
              </w:rPr>
              <w:tab/>
            </w:r>
            <w:r w:rsidR="00875493" w:rsidRPr="002926E7">
              <w:rPr>
                <w:rStyle w:val="Hyperlink"/>
                <w:rFonts w:ascii="Times New Roman" w:hAnsi="Times New Roman" w:cs="Times New Roman"/>
                <w:noProof/>
                <w:sz w:val="22"/>
                <w:szCs w:val="22"/>
              </w:rPr>
              <w:t>Recommendations on Standardizing Telehealth Data, Interoperability, APIs and Centralizing Telehealth</w:t>
            </w:r>
            <w:r w:rsidR="00875493" w:rsidRPr="002926E7">
              <w:rPr>
                <w:rFonts w:ascii="Times New Roman" w:hAnsi="Times New Roman" w:cs="Times New Roman"/>
                <w:noProof/>
                <w:webHidden/>
                <w:sz w:val="22"/>
                <w:szCs w:val="22"/>
              </w:rPr>
              <w:tab/>
            </w:r>
            <w:r w:rsidR="00875493">
              <w:rPr>
                <w:rFonts w:ascii="Times New Roman" w:hAnsi="Times New Roman" w:cs="Times New Roman"/>
                <w:noProof/>
                <w:webHidden/>
                <w:sz w:val="22"/>
                <w:szCs w:val="22"/>
              </w:rPr>
              <w:t>25</w:t>
            </w:r>
          </w:hyperlink>
        </w:p>
        <w:p w14:paraId="035561E1" w14:textId="28D1E7DB" w:rsidR="002926E7" w:rsidRPr="002926E7" w:rsidRDefault="00723177">
          <w:pPr>
            <w:pStyle w:val="TOC2"/>
            <w:tabs>
              <w:tab w:val="left" w:pos="660"/>
              <w:tab w:val="right" w:leader="dot" w:pos="9350"/>
            </w:tabs>
            <w:rPr>
              <w:rFonts w:ascii="Times New Roman" w:eastAsiaTheme="minorEastAsia" w:hAnsi="Times New Roman" w:cs="Times New Roman"/>
              <w:smallCaps w:val="0"/>
              <w:noProof/>
              <w:sz w:val="22"/>
              <w:szCs w:val="22"/>
            </w:rPr>
          </w:pPr>
          <w:hyperlink w:anchor="_Toc115353781" w:history="1">
            <w:r w:rsidR="00875493" w:rsidRPr="002926E7">
              <w:rPr>
                <w:rStyle w:val="Hyperlink"/>
                <w:rFonts w:ascii="Times New Roman" w:hAnsi="Times New Roman" w:cs="Times New Roman"/>
                <w:noProof/>
                <w:sz w:val="22"/>
                <w:szCs w:val="22"/>
              </w:rPr>
              <w:t>G.</w:t>
            </w:r>
            <w:r w:rsidR="00875493" w:rsidRPr="002926E7">
              <w:rPr>
                <w:rFonts w:ascii="Times New Roman" w:eastAsiaTheme="minorEastAsia" w:hAnsi="Times New Roman" w:cs="Times New Roman"/>
                <w:smallCaps w:val="0"/>
                <w:noProof/>
                <w:sz w:val="22"/>
                <w:szCs w:val="22"/>
              </w:rPr>
              <w:tab/>
            </w:r>
            <w:r w:rsidR="00875493" w:rsidRPr="002926E7">
              <w:rPr>
                <w:rStyle w:val="Hyperlink"/>
                <w:rFonts w:ascii="Times New Roman" w:hAnsi="Times New Roman" w:cs="Times New Roman"/>
                <w:noProof/>
                <w:sz w:val="22"/>
                <w:szCs w:val="22"/>
              </w:rPr>
              <w:t>Recommendations on Integrating Telehealth into Emergency Planning</w:t>
            </w:r>
            <w:r w:rsidR="00875493" w:rsidRPr="002926E7">
              <w:rPr>
                <w:rFonts w:ascii="Times New Roman" w:hAnsi="Times New Roman" w:cs="Times New Roman"/>
                <w:noProof/>
                <w:webHidden/>
                <w:sz w:val="22"/>
                <w:szCs w:val="22"/>
              </w:rPr>
              <w:tab/>
            </w:r>
            <w:r w:rsidR="00875493">
              <w:rPr>
                <w:rFonts w:ascii="Times New Roman" w:hAnsi="Times New Roman" w:cs="Times New Roman"/>
                <w:noProof/>
                <w:webHidden/>
                <w:sz w:val="22"/>
                <w:szCs w:val="22"/>
              </w:rPr>
              <w:t>25</w:t>
            </w:r>
          </w:hyperlink>
        </w:p>
        <w:p w14:paraId="7D9338DF" w14:textId="7ACC7C23" w:rsidR="002926E7" w:rsidRDefault="002926E7">
          <w:r>
            <w:rPr>
              <w:b/>
              <w:bCs/>
              <w:noProof/>
            </w:rPr>
            <w:fldChar w:fldCharType="end"/>
          </w:r>
        </w:p>
      </w:sdtContent>
    </w:sdt>
    <w:p w14:paraId="1547EF08" w14:textId="77777777" w:rsidR="00E92219" w:rsidRPr="00E92219" w:rsidRDefault="00E92219">
      <w:pPr>
        <w:pStyle w:val="BodyText"/>
        <w:spacing w:before="80"/>
      </w:pPr>
    </w:p>
    <w:p w14:paraId="06D5C7A0" w14:textId="44C3741F" w:rsidR="00E92219" w:rsidRDefault="00E92219" w:rsidP="00606D59">
      <w:pPr>
        <w:pStyle w:val="BodyText"/>
        <w:spacing w:before="80"/>
        <w:ind w:left="0"/>
      </w:pPr>
    </w:p>
    <w:p w14:paraId="194AA3C7" w14:textId="2CBD4083" w:rsidR="00606D59" w:rsidRDefault="00606D59" w:rsidP="00030585">
      <w:pPr>
        <w:pStyle w:val="BodyText"/>
        <w:spacing w:before="80"/>
        <w:ind w:left="0"/>
      </w:pPr>
    </w:p>
    <w:p w14:paraId="7360A6D2" w14:textId="2646177D" w:rsidR="007A6A6D" w:rsidRDefault="007A6A6D">
      <w:r>
        <w:br w:type="page"/>
      </w:r>
    </w:p>
    <w:p w14:paraId="69FFD2A6" w14:textId="77777777" w:rsidR="007A6A6D" w:rsidRPr="00E92219" w:rsidRDefault="007A6A6D" w:rsidP="00030585">
      <w:pPr>
        <w:pStyle w:val="BodyText"/>
        <w:spacing w:before="80"/>
        <w:ind w:left="0"/>
      </w:pPr>
    </w:p>
    <w:p w14:paraId="7A366A53" w14:textId="1EDCCFAF" w:rsidR="00876218" w:rsidRPr="00E92219" w:rsidRDefault="005B7E50" w:rsidP="00030585">
      <w:pPr>
        <w:pStyle w:val="Heading1"/>
      </w:pPr>
      <w:bookmarkStart w:id="0" w:name="_Toc114492041"/>
      <w:bookmarkStart w:id="1" w:name="_Toc115353752"/>
      <w:bookmarkStart w:id="2" w:name="_Toc114645360"/>
      <w:bookmarkStart w:id="3" w:name="_Toc114492042"/>
      <w:bookmarkEnd w:id="0"/>
      <w:r w:rsidRPr="00E92219">
        <w:t>INTRODUCTION</w:t>
      </w:r>
      <w:bookmarkEnd w:id="1"/>
      <w:r w:rsidR="00BA1F35" w:rsidRPr="00E92219">
        <w:t xml:space="preserve"> </w:t>
      </w:r>
      <w:bookmarkEnd w:id="2"/>
      <w:bookmarkEnd w:id="3"/>
    </w:p>
    <w:p w14:paraId="4A0C87C5" w14:textId="6ABAC2E3" w:rsidR="00A6175E" w:rsidRDefault="001A1B4D" w:rsidP="00C34B7C">
      <w:pPr>
        <w:pStyle w:val="BodyText"/>
        <w:tabs>
          <w:tab w:val="left" w:pos="630"/>
        </w:tabs>
        <w:spacing w:before="120" w:after="120"/>
        <w:ind w:left="0" w:firstLine="821"/>
      </w:pPr>
      <w:r w:rsidRPr="00E92219">
        <w:t xml:space="preserve">In 2019, the previous Intergovernmental Advisory Committee (IAC) submitted Advisory Recommendation No: 2019-2, </w:t>
      </w:r>
      <w:r w:rsidRPr="00AB4AFE">
        <w:rPr>
          <w:i/>
          <w:iCs/>
        </w:rPr>
        <w:t>In the Matter of State, Local</w:t>
      </w:r>
      <w:r w:rsidR="009958F9" w:rsidRPr="00AB4AFE">
        <w:rPr>
          <w:i/>
          <w:iCs/>
        </w:rPr>
        <w:t>,</w:t>
      </w:r>
      <w:r w:rsidRPr="00AB4AFE">
        <w:rPr>
          <w:i/>
          <w:iCs/>
        </w:rPr>
        <w:t xml:space="preserve"> Tribal, and Territorial Regulatory and Other Barriers and Incentives to Telemedicine</w:t>
      </w:r>
      <w:r w:rsidR="009958F9">
        <w:t xml:space="preserve"> (2019 Telehealth Report)</w:t>
      </w:r>
      <w:r w:rsidR="0084713F" w:rsidRPr="00E92219">
        <w:t>,</w:t>
      </w:r>
      <w:r w:rsidRPr="00E92219">
        <w:t xml:space="preserve"> providing recommendations to the Commission </w:t>
      </w:r>
      <w:r w:rsidR="00597D65" w:rsidRPr="00E92219">
        <w:t>on ho</w:t>
      </w:r>
      <w:r w:rsidR="0084713F" w:rsidRPr="00E92219">
        <w:t xml:space="preserve">w to </w:t>
      </w:r>
      <w:r w:rsidR="0084713F">
        <w:t xml:space="preserve">identify barriers and </w:t>
      </w:r>
      <w:r w:rsidR="00ED241A">
        <w:t>dis</w:t>
      </w:r>
      <w:r w:rsidR="0084713F">
        <w:t xml:space="preserve">incentives to telemedicine, including state and local licensing laws or regulations that prevent telehealth providers from treating patients across state lines and intrastate restrictions that may </w:t>
      </w:r>
      <w:r w:rsidR="0084713F" w:rsidRPr="00050629">
        <w:t>prohibit the provision of telemedicine.</w:t>
      </w:r>
      <w:r w:rsidR="00BA1F35">
        <w:rPr>
          <w:rStyle w:val="FootnoteReference"/>
        </w:rPr>
        <w:footnoteReference w:id="2"/>
      </w:r>
      <w:r w:rsidR="00A6175E">
        <w:t xml:space="preserve">  </w:t>
      </w:r>
      <w:r w:rsidR="00A6175E" w:rsidRPr="00050629">
        <w:t>Th</w:t>
      </w:r>
      <w:r w:rsidR="009D6AC7">
        <w:t>e</w:t>
      </w:r>
      <w:r w:rsidR="00A6175E" w:rsidRPr="00050629">
        <w:t xml:space="preserve"> </w:t>
      </w:r>
      <w:r w:rsidR="009D6AC7">
        <w:t xml:space="preserve">Commission has charged the current </w:t>
      </w:r>
      <w:r w:rsidR="00A6175E" w:rsidRPr="00050629">
        <w:t xml:space="preserve">IAC with updating the </w:t>
      </w:r>
      <w:r w:rsidR="00AF2E10">
        <w:t xml:space="preserve">previous IAC’s </w:t>
      </w:r>
      <w:r w:rsidR="00A6175E" w:rsidRPr="00050629">
        <w:t>2019 Telehealth Report in light</w:t>
      </w:r>
      <w:r w:rsidR="00A6175E">
        <w:t xml:space="preserve"> of lessons learned during the COVID-19 pandemic.</w:t>
      </w:r>
    </w:p>
    <w:p w14:paraId="2D44559F" w14:textId="2952FFE0" w:rsidR="009D6AC7" w:rsidRDefault="008A5615" w:rsidP="000A694D">
      <w:pPr>
        <w:tabs>
          <w:tab w:val="left" w:pos="720"/>
        </w:tabs>
        <w:spacing w:before="120" w:after="120"/>
      </w:pPr>
      <w:r>
        <w:tab/>
      </w:r>
      <w:r w:rsidR="000C4FB9">
        <w:t>One k</w:t>
      </w:r>
      <w:r>
        <w:t>ey recommendation of this report</w:t>
      </w:r>
      <w:r w:rsidR="000C4FB9">
        <w:t xml:space="preserve"> is</w:t>
      </w:r>
      <w:r>
        <w:t xml:space="preserve"> that the FCC use improved geographic broadband location data </w:t>
      </w:r>
      <w:r w:rsidR="00F179F9">
        <w:t xml:space="preserve">to </w:t>
      </w:r>
      <w:r w:rsidR="00746280">
        <w:rPr>
          <w:color w:val="242424"/>
          <w:shd w:val="clear" w:color="auto" w:fill="FFFFFF"/>
        </w:rPr>
        <w:t>include or integrate available, ​reliable data on the presence and nature of telehealth services offered by healthcare service providers throughout the nation, should it become available.  The IAC understands the Commission does not presently collect such data and the IAC is not in a position, at this time, to recommend any particular external data source for that information.  However, the IAC recommends that, if and when such data does become available, the Commission should incorporate it into the mapping tool.</w:t>
      </w:r>
      <w:r w:rsidR="00F53BB5">
        <w:rPr>
          <w:color w:val="242424"/>
          <w:shd w:val="clear" w:color="auto" w:fill="FFFFFF"/>
        </w:rPr>
        <w:t xml:space="preserve">  </w:t>
      </w:r>
      <w:r>
        <w:t xml:space="preserve">Other recommendations </w:t>
      </w:r>
      <w:r w:rsidR="00F53BB5">
        <w:t xml:space="preserve">for the FCC </w:t>
      </w:r>
      <w:r w:rsidR="00312A77">
        <w:t xml:space="preserve">include a broad construction of the term “telehealth” </w:t>
      </w:r>
      <w:r w:rsidR="004D3CEA">
        <w:t xml:space="preserve">to </w:t>
      </w:r>
      <w:r w:rsidR="00312A77">
        <w:t>incorporate</w:t>
      </w:r>
      <w:r>
        <w:t xml:space="preserve"> software,</w:t>
      </w:r>
      <w:r w:rsidRPr="00137436">
        <w:rPr>
          <w:spacing w:val="-3"/>
        </w:rPr>
        <w:t xml:space="preserve"> </w:t>
      </w:r>
      <w:r>
        <w:t>equipment,</w:t>
      </w:r>
      <w:r w:rsidRPr="00137436">
        <w:rPr>
          <w:spacing w:val="-2"/>
        </w:rPr>
        <w:t xml:space="preserve"> </w:t>
      </w:r>
      <w:r>
        <w:t>data</w:t>
      </w:r>
      <w:r w:rsidRPr="00137436">
        <w:rPr>
          <w:spacing w:val="-2"/>
        </w:rPr>
        <w:t xml:space="preserve"> </w:t>
      </w:r>
      <w:r>
        <w:t>storage</w:t>
      </w:r>
      <w:r w:rsidR="00624F74">
        <w:rPr>
          <w:spacing w:val="-1"/>
        </w:rPr>
        <w:t xml:space="preserve">, </w:t>
      </w:r>
      <w:r>
        <w:t>patient</w:t>
      </w:r>
      <w:r w:rsidRPr="00137436">
        <w:rPr>
          <w:spacing w:val="-1"/>
        </w:rPr>
        <w:t xml:space="preserve"> </w:t>
      </w:r>
      <w:r>
        <w:t>record</w:t>
      </w:r>
      <w:r w:rsidRPr="00137436">
        <w:rPr>
          <w:spacing w:val="-1"/>
        </w:rPr>
        <w:t xml:space="preserve"> </w:t>
      </w:r>
      <w:r>
        <w:t>access</w:t>
      </w:r>
      <w:r w:rsidR="00624F74">
        <w:t>, and more</w:t>
      </w:r>
      <w:r w:rsidRPr="00137436">
        <w:rPr>
          <w:spacing w:val="-3"/>
        </w:rPr>
        <w:t xml:space="preserve"> </w:t>
      </w:r>
      <w:r w:rsidR="00624F74">
        <w:t>with regard to broadband-enabled healthcare funding programs</w:t>
      </w:r>
      <w:r>
        <w:t>.</w:t>
      </w:r>
    </w:p>
    <w:p w14:paraId="5A24DDBE" w14:textId="2FD233D1" w:rsidR="000A694D" w:rsidRDefault="005A6FFB" w:rsidP="000A694D">
      <w:pPr>
        <w:tabs>
          <w:tab w:val="left" w:pos="720"/>
        </w:tabs>
        <w:spacing w:before="120" w:after="120"/>
      </w:pPr>
      <w:r>
        <w:tab/>
      </w:r>
      <w:r w:rsidR="00420459">
        <w:t xml:space="preserve">For the </w:t>
      </w:r>
      <w:r w:rsidR="00C731E3">
        <w:t xml:space="preserve">U.S. </w:t>
      </w:r>
      <w:r w:rsidR="00420459">
        <w:t>Department of Health and Human Services</w:t>
      </w:r>
      <w:r w:rsidR="002F556B">
        <w:t xml:space="preserve"> </w:t>
      </w:r>
      <w:r w:rsidR="009958F9">
        <w:t>(</w:t>
      </w:r>
      <w:r w:rsidR="002F556B">
        <w:t>HHS</w:t>
      </w:r>
      <w:r w:rsidR="009958F9">
        <w:t>)</w:t>
      </w:r>
      <w:r w:rsidR="00420459">
        <w:t xml:space="preserve">, this </w:t>
      </w:r>
      <w:r w:rsidR="002F556B">
        <w:t xml:space="preserve">report recommends that </w:t>
      </w:r>
      <w:r w:rsidR="000C4FB9">
        <w:t>it</w:t>
      </w:r>
      <w:r w:rsidR="008A5615">
        <w:t xml:space="preserve"> determine whether the recent expansion of eligibility for telehealth services through Medicare should continue.  </w:t>
      </w:r>
      <w:r w:rsidR="005E3442">
        <w:t xml:space="preserve">For states, </w:t>
      </w:r>
      <w:r w:rsidR="0084653B">
        <w:t>t</w:t>
      </w:r>
      <w:r w:rsidR="005E3442">
        <w:t xml:space="preserve">his report </w:t>
      </w:r>
      <w:r w:rsidR="00D00614">
        <w:t xml:space="preserve">recommends </w:t>
      </w:r>
      <w:r w:rsidR="00E41A35">
        <w:t xml:space="preserve">that </w:t>
      </w:r>
      <w:r w:rsidR="008A5615" w:rsidRPr="00E65569">
        <w:t>policymakers</w:t>
      </w:r>
      <w:r w:rsidR="00D007A1">
        <w:t xml:space="preserve"> </w:t>
      </w:r>
      <w:r w:rsidR="00E41A35">
        <w:t>leverage</w:t>
      </w:r>
      <w:r w:rsidR="00E41A35" w:rsidRPr="00E65569">
        <w:t xml:space="preserve"> </w:t>
      </w:r>
      <w:r w:rsidR="008A5615" w:rsidRPr="00E65569">
        <w:t>existing Federal programs</w:t>
      </w:r>
      <w:r w:rsidR="00E41A35">
        <w:t xml:space="preserve"> </w:t>
      </w:r>
      <w:r w:rsidR="00E41A35" w:rsidRPr="00E65569">
        <w:t>to provide low-cost solutions to the public</w:t>
      </w:r>
      <w:r w:rsidR="00E41A35">
        <w:t xml:space="preserve">, for example, by </w:t>
      </w:r>
      <w:r w:rsidR="008A5615" w:rsidRPr="00E65569">
        <w:t xml:space="preserve">requiring grantees of broadband expansion grants to participate in </w:t>
      </w:r>
      <w:r w:rsidR="009D6AC7">
        <w:t xml:space="preserve">programs authorized by </w:t>
      </w:r>
      <w:r w:rsidR="008A5615" w:rsidRPr="00E65569">
        <w:t xml:space="preserve">the </w:t>
      </w:r>
      <w:r w:rsidR="00D00614">
        <w:t>Affordable Care Act</w:t>
      </w:r>
      <w:r w:rsidR="008A5615" w:rsidRPr="00E65569">
        <w:t xml:space="preserve">.  </w:t>
      </w:r>
      <w:r w:rsidR="00D007A1">
        <w:t xml:space="preserve">Regarding Tribal lands, this report recommends that the </w:t>
      </w:r>
      <w:r w:rsidR="009D6AC7">
        <w:t xml:space="preserve">Commission address the </w:t>
      </w:r>
      <w:r w:rsidR="00D007A1">
        <w:t>f</w:t>
      </w:r>
      <w:r w:rsidR="008A5615" w:rsidRPr="00E65569">
        <w:t xml:space="preserve">ragmentation of federal programs and difficult application requirements that limit Tribes’ and providers’ ability and interest in participating in federal broadband programs.  </w:t>
      </w:r>
      <w:r w:rsidR="00DD7648">
        <w:t>For h</w:t>
      </w:r>
      <w:r w:rsidR="000A694D" w:rsidRPr="00C728DA">
        <w:t>ealthcare providers, health systems, technology developers, and governments</w:t>
      </w:r>
      <w:r w:rsidR="00DD7648">
        <w:t>, this report recommends that</w:t>
      </w:r>
      <w:r w:rsidR="000A694D" w:rsidRPr="00C728DA">
        <w:t xml:space="preserve"> </w:t>
      </w:r>
      <w:r w:rsidR="002B1441">
        <w:t>they</w:t>
      </w:r>
      <w:r w:rsidR="002B1441" w:rsidRPr="00C728DA">
        <w:t xml:space="preserve"> </w:t>
      </w:r>
      <w:r w:rsidR="000A694D" w:rsidRPr="00C728DA">
        <w:t>take steps to help bridge the digital divide when it comes to digital literacy and equitable access to telehealth</w:t>
      </w:r>
      <w:r w:rsidR="00253EB7">
        <w:t>,</w:t>
      </w:r>
      <w:r w:rsidR="00253EB7" w:rsidRPr="00253EB7">
        <w:t xml:space="preserve"> </w:t>
      </w:r>
      <w:r w:rsidR="00253EB7">
        <w:t>including for individuals with disabilities</w:t>
      </w:r>
      <w:r w:rsidR="000A694D">
        <w:t>.</w:t>
      </w:r>
      <w:r w:rsidR="002B1441">
        <w:t xml:space="preserve">  Also, t</w:t>
      </w:r>
      <w:r w:rsidR="000A694D" w:rsidRPr="00C728DA">
        <w:t>elehealth providers and other stakeholders should work together to help standardize data collection</w:t>
      </w:r>
      <w:r w:rsidR="00930B01">
        <w:t xml:space="preserve">, </w:t>
      </w:r>
      <w:r w:rsidR="000A694D" w:rsidRPr="00C728DA">
        <w:t>ensure</w:t>
      </w:r>
      <w:r w:rsidR="000A694D" w:rsidRPr="00C728DA">
        <w:rPr>
          <w:spacing w:val="-2"/>
        </w:rPr>
        <w:t xml:space="preserve"> </w:t>
      </w:r>
      <w:r w:rsidR="000A694D" w:rsidRPr="00C728DA">
        <w:t>th</w:t>
      </w:r>
      <w:r w:rsidR="00C56F52">
        <w:t>e</w:t>
      </w:r>
      <w:r w:rsidR="000A694D" w:rsidRPr="00C728DA">
        <w:rPr>
          <w:spacing w:val="-3"/>
        </w:rPr>
        <w:t xml:space="preserve"> </w:t>
      </w:r>
      <w:r w:rsidR="000A694D" w:rsidRPr="00C728DA">
        <w:t>interoperab</w:t>
      </w:r>
      <w:r w:rsidR="00C56F52">
        <w:t>ility</w:t>
      </w:r>
      <w:r w:rsidR="000A694D" w:rsidRPr="00C728DA">
        <w:rPr>
          <w:spacing w:val="-2"/>
        </w:rPr>
        <w:t xml:space="preserve"> </w:t>
      </w:r>
      <w:r w:rsidR="00C56F52">
        <w:t xml:space="preserve">of equipment and centralize telehealth with telehealth centers.  </w:t>
      </w:r>
      <w:r w:rsidR="00930B01">
        <w:t xml:space="preserve">It is also recommended that </w:t>
      </w:r>
      <w:r w:rsidR="00930B01">
        <w:rPr>
          <w:shd w:val="clear" w:color="auto" w:fill="FFFFFF"/>
        </w:rPr>
        <w:t>h</w:t>
      </w:r>
      <w:r w:rsidR="000A694D" w:rsidRPr="00C728DA">
        <w:rPr>
          <w:shd w:val="clear" w:color="auto" w:fill="FFFFFF"/>
        </w:rPr>
        <w:t>ealthcare policy stakeholders learn from the COVID-19 pandemic</w:t>
      </w:r>
      <w:r w:rsidR="000A694D" w:rsidRPr="00C728DA">
        <w:t xml:space="preserve"> and make telehealth services an</w:t>
      </w:r>
      <w:r w:rsidR="000A694D" w:rsidRPr="00C728DA">
        <w:rPr>
          <w:spacing w:val="-1"/>
        </w:rPr>
        <w:t xml:space="preserve"> </w:t>
      </w:r>
      <w:r w:rsidR="000A694D" w:rsidRPr="00C728DA">
        <w:t>integral part</w:t>
      </w:r>
      <w:r w:rsidR="000A694D" w:rsidRPr="00C728DA">
        <w:rPr>
          <w:spacing w:val="-1"/>
        </w:rPr>
        <w:t xml:space="preserve"> </w:t>
      </w:r>
      <w:r w:rsidR="000A694D" w:rsidRPr="00C728DA">
        <w:t>of</w:t>
      </w:r>
      <w:r w:rsidR="000A694D" w:rsidRPr="00C728DA">
        <w:rPr>
          <w:spacing w:val="-2"/>
        </w:rPr>
        <w:t xml:space="preserve"> every </w:t>
      </w:r>
      <w:r w:rsidR="000A694D" w:rsidRPr="00C728DA">
        <w:t>emergency</w:t>
      </w:r>
      <w:r w:rsidR="000A694D" w:rsidRPr="00C728DA">
        <w:rPr>
          <w:spacing w:val="-1"/>
        </w:rPr>
        <w:t xml:space="preserve"> </w:t>
      </w:r>
      <w:r w:rsidR="000A694D" w:rsidRPr="00C728DA">
        <w:t>response,</w:t>
      </w:r>
      <w:r w:rsidR="000A694D" w:rsidRPr="00C728DA">
        <w:rPr>
          <w:spacing w:val="-52"/>
        </w:rPr>
        <w:t xml:space="preserve">   </w:t>
      </w:r>
      <w:r w:rsidR="000A694D" w:rsidRPr="00C728DA">
        <w:t xml:space="preserve"> recovery,</w:t>
      </w:r>
      <w:r w:rsidR="000A694D" w:rsidRPr="00C728DA">
        <w:rPr>
          <w:spacing w:val="-2"/>
        </w:rPr>
        <w:t xml:space="preserve"> </w:t>
      </w:r>
      <w:r w:rsidR="000A694D" w:rsidRPr="00C728DA">
        <w:t>and</w:t>
      </w:r>
      <w:r w:rsidR="000A694D" w:rsidRPr="00C728DA">
        <w:rPr>
          <w:spacing w:val="-2"/>
        </w:rPr>
        <w:t xml:space="preserve"> </w:t>
      </w:r>
      <w:r w:rsidR="000A694D" w:rsidRPr="00C728DA">
        <w:t>implementation plan</w:t>
      </w:r>
      <w:r w:rsidR="000A694D">
        <w:t>, including on Tribal lands</w:t>
      </w:r>
      <w:r w:rsidR="000A694D" w:rsidRPr="00C728DA">
        <w:t>.</w:t>
      </w:r>
    </w:p>
    <w:p w14:paraId="0BA471E3" w14:textId="0E2F2FAE" w:rsidR="004079FA" w:rsidRPr="008371F6" w:rsidRDefault="004079FA" w:rsidP="00D039EF">
      <w:pPr>
        <w:pStyle w:val="BodyText"/>
        <w:tabs>
          <w:tab w:val="left" w:pos="630"/>
        </w:tabs>
        <w:spacing w:before="120" w:after="120"/>
        <w:ind w:left="0" w:firstLine="720"/>
      </w:pPr>
      <w:r>
        <w:t xml:space="preserve">This report first </w:t>
      </w:r>
      <w:r w:rsidR="0086681C">
        <w:t>provides an overview</w:t>
      </w:r>
      <w:r w:rsidR="00403598">
        <w:t xml:space="preserve"> </w:t>
      </w:r>
      <w:r w:rsidR="00006FF1">
        <w:t xml:space="preserve">of </w:t>
      </w:r>
      <w:r w:rsidR="0086681C">
        <w:t xml:space="preserve">four </w:t>
      </w:r>
      <w:r w:rsidR="00403598">
        <w:t>of the FCC’s funding programs</w:t>
      </w:r>
      <w:r w:rsidR="00CE1364">
        <w:t xml:space="preserve"> </w:t>
      </w:r>
      <w:r w:rsidR="00CE1364" w:rsidRPr="006F4216">
        <w:t>that provide support for broadband services needed for broadband-enabled telehealth</w:t>
      </w:r>
      <w:r w:rsidR="00403598">
        <w:t xml:space="preserve"> – the Rural Health Care Program, the COVID-19 Telehealth Program, the Connected Care Pilot Program, and the Affordable Connectivity Program.  Next, the report discusses mapping broadband health in America and then </w:t>
      </w:r>
      <w:r w:rsidR="0086681C">
        <w:t>it addresses</w:t>
      </w:r>
      <w:r w:rsidR="00403598">
        <w:t xml:space="preserve"> telehealth on Tribal lands.  The report next discusses broadband infrastructure requirements for telehealth</w:t>
      </w:r>
      <w:r w:rsidR="00D33257">
        <w:t>, optimal features for telehealth provisioning</w:t>
      </w:r>
      <w:r w:rsidR="0086681C">
        <w:t xml:space="preserve"> and centralizing telehealth.  The report t</w:t>
      </w:r>
      <w:r w:rsidR="009D6AC7">
        <w:t>hen</w:t>
      </w:r>
      <w:r w:rsidR="0086681C">
        <w:t xml:space="preserve"> addresses the lack of digital literacy as a threat to health equity before addressing COVID-19 policy changes that eased constraints on regulatory barriers to telehealth.</w:t>
      </w:r>
      <w:r w:rsidR="00D33257">
        <w:t xml:space="preserve"> </w:t>
      </w:r>
      <w:r w:rsidR="009D6AC7">
        <w:t xml:space="preserve"> Furthermore, t</w:t>
      </w:r>
      <w:r w:rsidR="00144D0B">
        <w:t xml:space="preserve">he report discusses integrating telehealth into emergency planning </w:t>
      </w:r>
      <w:r w:rsidR="00582E94">
        <w:t xml:space="preserve">and then </w:t>
      </w:r>
      <w:r w:rsidR="00144D0B">
        <w:t>provides two telehealth case studies.</w:t>
      </w:r>
      <w:r w:rsidR="009D6AC7">
        <w:t xml:space="preserve">  Finally, the report concludes with regulatory recommendations for the FCC, the HHS, the Centers for Medicare and Medicaid Services (CMS), and the states.</w:t>
      </w:r>
      <w:r w:rsidR="001E7A09">
        <w:t xml:space="preserve">  The report also provides recommendations for telehealth on Tribal lands for improving digital literacy and on standardizing telehealth data, interoperability, Application Programming </w:t>
      </w:r>
      <w:r w:rsidR="001E7A09">
        <w:lastRenderedPageBreak/>
        <w:t>Interfaces (APIs), and centralizing telehealth.  In addition, the report provides recommendations on integrating telehealth into emergency planning.</w:t>
      </w:r>
    </w:p>
    <w:p w14:paraId="45DB8DA8" w14:textId="55260927" w:rsidR="00A6175E" w:rsidRPr="00E92219" w:rsidRDefault="00A6175E" w:rsidP="004079FA">
      <w:pPr>
        <w:pStyle w:val="Heading1"/>
      </w:pPr>
      <w:bookmarkStart w:id="4" w:name="_Toc115353753"/>
      <w:r>
        <w:t>BACKGROUND</w:t>
      </w:r>
      <w:bookmarkEnd w:id="4"/>
    </w:p>
    <w:p w14:paraId="1E1C19C6" w14:textId="36BFB81C" w:rsidR="00B35180" w:rsidRDefault="00AD6EEA" w:rsidP="00D039EF">
      <w:pPr>
        <w:pStyle w:val="BodyText"/>
        <w:tabs>
          <w:tab w:val="left" w:pos="630"/>
        </w:tabs>
        <w:spacing w:before="120" w:after="120"/>
        <w:ind w:left="0" w:firstLine="720"/>
      </w:pPr>
      <w:r>
        <w:t>Over the last few years, i</w:t>
      </w:r>
      <w:r w:rsidR="00B35180">
        <w:t>t is d</w:t>
      </w:r>
      <w:r w:rsidR="009D6AC7">
        <w:t>ifficult</w:t>
      </w:r>
      <w:r w:rsidR="00B35180">
        <w:t xml:space="preserve"> to </w:t>
      </w:r>
      <w:r w:rsidR="009958F9">
        <w:t xml:space="preserve">overstate </w:t>
      </w:r>
      <w:r w:rsidR="00B35180">
        <w:t xml:space="preserve">the impact </w:t>
      </w:r>
      <w:r>
        <w:t xml:space="preserve">on all Americans </w:t>
      </w:r>
      <w:r w:rsidR="00B35180">
        <w:t xml:space="preserve">of the Coronavirus disease (COVID-19) and resulting pandemic.  </w:t>
      </w:r>
      <w:r w:rsidR="00B35180" w:rsidRPr="00715A1E">
        <w:rPr>
          <w:shd w:val="clear" w:color="auto" w:fill="FFFFFF"/>
        </w:rPr>
        <w:t xml:space="preserve">The COVID-19 pandemic </w:t>
      </w:r>
      <w:r w:rsidR="009958F9">
        <w:rPr>
          <w:shd w:val="clear" w:color="auto" w:fill="FFFFFF"/>
        </w:rPr>
        <w:t xml:space="preserve">has </w:t>
      </w:r>
      <w:r w:rsidR="00B35180" w:rsidRPr="00715A1E">
        <w:rPr>
          <w:shd w:val="clear" w:color="auto" w:fill="FFFFFF"/>
        </w:rPr>
        <w:t>represent</w:t>
      </w:r>
      <w:r w:rsidR="009958F9">
        <w:rPr>
          <w:shd w:val="clear" w:color="auto" w:fill="FFFFFF"/>
        </w:rPr>
        <w:t>ed</w:t>
      </w:r>
      <w:r w:rsidR="00B35180" w:rsidRPr="00715A1E">
        <w:rPr>
          <w:shd w:val="clear" w:color="auto" w:fill="FFFFFF"/>
        </w:rPr>
        <w:t xml:space="preserve"> an extraordinary and unprecedented public health challenge, but it also pr</w:t>
      </w:r>
      <w:r w:rsidR="009958F9">
        <w:rPr>
          <w:shd w:val="clear" w:color="auto" w:fill="FFFFFF"/>
        </w:rPr>
        <w:t>esents</w:t>
      </w:r>
      <w:r w:rsidR="00B35180" w:rsidRPr="00715A1E">
        <w:rPr>
          <w:shd w:val="clear" w:color="auto" w:fill="FFFFFF"/>
        </w:rPr>
        <w:t xml:space="preserve"> compelling evidence of the benefits of </w:t>
      </w:r>
      <w:r w:rsidR="00B35180">
        <w:rPr>
          <w:shd w:val="clear" w:color="auto" w:fill="FFFFFF"/>
        </w:rPr>
        <w:t xml:space="preserve">remote </w:t>
      </w:r>
      <w:r w:rsidR="00B35180" w:rsidRPr="00715A1E">
        <w:rPr>
          <w:shd w:val="clear" w:color="auto" w:fill="FFFFFF"/>
        </w:rPr>
        <w:t>connected care services provided through broadband connections</w:t>
      </w:r>
      <w:r w:rsidR="00B35180" w:rsidRPr="006C30F8">
        <w:rPr>
          <w:shd w:val="clear" w:color="auto" w:fill="FFFFFF"/>
        </w:rPr>
        <w:t>.</w:t>
      </w:r>
      <w:r w:rsidR="00B35180" w:rsidRPr="006C30F8">
        <w:rPr>
          <w:rStyle w:val="FootnoteReference"/>
          <w:shd w:val="clear" w:color="auto" w:fill="FFFFFF"/>
        </w:rPr>
        <w:footnoteReference w:id="3"/>
      </w:r>
      <w:r w:rsidR="00B35180" w:rsidRPr="00715A1E">
        <w:rPr>
          <w:shd w:val="clear" w:color="auto" w:fill="FFFFFF"/>
        </w:rPr>
        <w:t xml:space="preserve">  </w:t>
      </w:r>
      <w:r w:rsidR="00B35180" w:rsidRPr="009252CE">
        <w:t>Recent studies have shown that telehealth has the potential to increase equitable access to care.</w:t>
      </w:r>
      <w:r w:rsidR="00B35180" w:rsidRPr="009252CE">
        <w:rPr>
          <w:rStyle w:val="FootnoteReference"/>
        </w:rPr>
        <w:footnoteReference w:id="4"/>
      </w:r>
      <w:r w:rsidR="00B35180" w:rsidRPr="009252CE">
        <w:t xml:space="preserve">  </w:t>
      </w:r>
      <w:r w:rsidR="00B35180" w:rsidRPr="002404B7">
        <w:t>Further, pandemic research is showing that the expansion of telehealth services is allowing more people, particularly in urban settings, to obtain the care that they need.</w:t>
      </w:r>
    </w:p>
    <w:p w14:paraId="584441C5" w14:textId="7406EA27" w:rsidR="00BA1F35" w:rsidRPr="00657920" w:rsidRDefault="00BA1F35" w:rsidP="00D039EF">
      <w:pPr>
        <w:widowControl/>
        <w:autoSpaceDE/>
        <w:autoSpaceDN/>
        <w:spacing w:before="120" w:after="120"/>
        <w:ind w:firstLine="720"/>
      </w:pPr>
      <w:r w:rsidRPr="00657920">
        <w:t xml:space="preserve">COVID-19 </w:t>
      </w:r>
      <w:r>
        <w:t>“</w:t>
      </w:r>
      <w:r w:rsidRPr="00657920">
        <w:t>is an infectious disease caused by the SARS-CoV-2 virus.”</w:t>
      </w:r>
      <w:r w:rsidRPr="00657920">
        <w:rPr>
          <w:rStyle w:val="FootnoteReference"/>
        </w:rPr>
        <w:footnoteReference w:id="5"/>
      </w:r>
      <w:r w:rsidRPr="00657920">
        <w:t xml:space="preserve">  Symptoms include respiratory illness, which could require medical attention and even hospitalization.  “Anyone can get sick with COVID-19 and become seriously ill or die at any age.”</w:t>
      </w:r>
      <w:r w:rsidRPr="00657920">
        <w:rPr>
          <w:rStyle w:val="FootnoteReference"/>
        </w:rPr>
        <w:footnoteReference w:id="6"/>
      </w:r>
      <w:r w:rsidRPr="00657920">
        <w:t xml:space="preserve">  Experts advise that the best way to prevent and slow down transmission of the virus is through information-sharing and protecting oneself and others.  This protection includes, but is not limited to, staying at least six feet apart from others, wearing a properly</w:t>
      </w:r>
      <w:r>
        <w:t xml:space="preserve"> </w:t>
      </w:r>
      <w:r w:rsidRPr="00657920">
        <w:t>fitted mask, washing hands frequently, and getting vaccinated.  Since the virus can spread from an infected person’s mouth or nose in small liquid particles when they cough, sneeze, speak, sing or breathe, public health officials</w:t>
      </w:r>
      <w:r w:rsidR="00AD6EEA">
        <w:t xml:space="preserve"> advised the public</w:t>
      </w:r>
      <w:r w:rsidRPr="00657920">
        <w:t xml:space="preserve">, </w:t>
      </w:r>
      <w:r>
        <w:t xml:space="preserve">especially </w:t>
      </w:r>
      <w:r w:rsidRPr="00657920">
        <w:t xml:space="preserve">during the height of the pandemic, to stay home and to self-isolate (quarantine) if sick or </w:t>
      </w:r>
      <w:r w:rsidR="00AD6EEA">
        <w:t xml:space="preserve">if </w:t>
      </w:r>
      <w:r w:rsidRPr="00657920">
        <w:t>experiencing common symptoms, such as fevers, coughs, or difficulty breathing.</w:t>
      </w:r>
      <w:r w:rsidRPr="00657920">
        <w:rPr>
          <w:rStyle w:val="FootnoteReference"/>
        </w:rPr>
        <w:footnoteReference w:id="7"/>
      </w:r>
    </w:p>
    <w:p w14:paraId="4D9C0ACB" w14:textId="3E62358B" w:rsidR="00BA1F35" w:rsidRPr="008B3F7B" w:rsidRDefault="00BA1F35" w:rsidP="00D039EF">
      <w:pPr>
        <w:pStyle w:val="BodyText"/>
        <w:spacing w:before="120" w:after="120"/>
        <w:ind w:left="0" w:firstLine="720"/>
        <w:rPr>
          <w:spacing w:val="-3"/>
          <w:shd w:val="clear" w:color="auto" w:fill="FFFFFF"/>
        </w:rPr>
      </w:pPr>
      <w:r>
        <w:t>Beginning i</w:t>
      </w:r>
      <w:r w:rsidRPr="008B3F7B">
        <w:t xml:space="preserve">n 2020, the COVID-19 pandemic changed the way that people learned, worked, and received healthcare.  “Efforts to slow the spread of the disease and mitigate strain on the nation’s healthcare system </w:t>
      </w:r>
      <w:r>
        <w:t xml:space="preserve">… </w:t>
      </w:r>
      <w:r w:rsidRPr="008B3F7B">
        <w:t>resulted in the dramatic disruption of many aspects of Americans’ lives, including social distancing measures to prevent person-to-person transmission that require the closure of schools and workplaces”</w:t>
      </w:r>
      <w:r w:rsidR="0050638C">
        <w:t xml:space="preserve"> throughout the United States.</w:t>
      </w:r>
      <w:r w:rsidRPr="008B3F7B">
        <w:rPr>
          <w:rStyle w:val="FootnoteReference"/>
        </w:rPr>
        <w:footnoteReference w:id="8"/>
      </w:r>
      <w:r w:rsidRPr="008B3F7B">
        <w:t xml:space="preserve">  The need to reduce the transmission of the virus, especially in the early stages of the pandemic, by social distancing (staying home unless </w:t>
      </w:r>
      <w:r>
        <w:t xml:space="preserve">going out was </w:t>
      </w:r>
      <w:r w:rsidRPr="008B3F7B">
        <w:lastRenderedPageBreak/>
        <w:t xml:space="preserve">necessary, staying six feet apart from others when in public, and quarantining when sick or experiencing symptoms) meant that patients, in many circumstances, could no longer freely access in-person healthcare.  </w:t>
      </w:r>
      <w:r w:rsidRPr="008B3F7B">
        <w:rPr>
          <w:spacing w:val="-3"/>
          <w:shd w:val="clear" w:color="auto" w:fill="FFFFFF"/>
        </w:rPr>
        <w:t xml:space="preserve">Many providers began deferring elective and preventive visits, such as annual physicals, due to local and state recommendations restricting travel and nonessential services.  Many patients also began avoiding </w:t>
      </w:r>
      <w:r w:rsidR="00AD6EEA">
        <w:rPr>
          <w:spacing w:val="-3"/>
          <w:shd w:val="clear" w:color="auto" w:fill="FFFFFF"/>
        </w:rPr>
        <w:t xml:space="preserve">healthcare </w:t>
      </w:r>
      <w:r w:rsidRPr="008B3F7B">
        <w:rPr>
          <w:spacing w:val="-3"/>
          <w:shd w:val="clear" w:color="auto" w:fill="FFFFFF"/>
        </w:rPr>
        <w:t xml:space="preserve">visits to reduce their risk of exposure. </w:t>
      </w:r>
      <w:r w:rsidR="00357546">
        <w:rPr>
          <w:spacing w:val="-3"/>
          <w:shd w:val="clear" w:color="auto" w:fill="FFFFFF"/>
        </w:rPr>
        <w:t xml:space="preserve"> </w:t>
      </w:r>
      <w:r w:rsidRPr="008B3F7B">
        <w:rPr>
          <w:spacing w:val="-3"/>
          <w:shd w:val="clear" w:color="auto" w:fill="FFFFFF"/>
        </w:rPr>
        <w:t>“Early in the pandemic the number of visits to ambulatory care practices declined by nearly 60 percent.”</w:t>
      </w:r>
      <w:r w:rsidR="000A4DE4" w:rsidRPr="000A4DE4">
        <w:rPr>
          <w:rStyle w:val="FootnoteReference"/>
          <w:spacing w:val="-3"/>
          <w:shd w:val="clear" w:color="auto" w:fill="FFFFFF"/>
        </w:rPr>
        <w:t xml:space="preserve"> </w:t>
      </w:r>
      <w:r w:rsidR="000A4DE4" w:rsidRPr="008B3F7B">
        <w:rPr>
          <w:rStyle w:val="FootnoteReference"/>
          <w:spacing w:val="-3"/>
          <w:shd w:val="clear" w:color="auto" w:fill="FFFFFF"/>
        </w:rPr>
        <w:footnoteReference w:id="9"/>
      </w:r>
    </w:p>
    <w:p w14:paraId="5360D307" w14:textId="5F24B297" w:rsidR="00BA1F35" w:rsidRDefault="009958F9" w:rsidP="0020769E">
      <w:pPr>
        <w:pStyle w:val="BodyText"/>
        <w:tabs>
          <w:tab w:val="left" w:pos="630"/>
        </w:tabs>
        <w:spacing w:before="120" w:after="120"/>
        <w:ind w:left="0" w:firstLine="720"/>
      </w:pPr>
      <w:r>
        <w:t xml:space="preserve">To deal with the pandemic, </w:t>
      </w:r>
      <w:r w:rsidR="00BA1F35" w:rsidRPr="00C55F59">
        <w:rPr>
          <w:shd w:val="clear" w:color="auto" w:fill="FFFFFF"/>
        </w:rPr>
        <w:t>“</w:t>
      </w:r>
      <w:r w:rsidR="006F4C35">
        <w:rPr>
          <w:shd w:val="clear" w:color="auto" w:fill="FFFFFF"/>
        </w:rPr>
        <w:t>[a]</w:t>
      </w:r>
      <w:r w:rsidR="00BA1F35" w:rsidRPr="00C55F59">
        <w:rPr>
          <w:shd w:val="clear" w:color="auto" w:fill="FFFFFF"/>
        </w:rPr>
        <w:t>cross the country, people [turned] to telemedicine, telework, and online learning to enable social distancing measures, which has only emphasized the importance of access to connected care technologies and services.”</w:t>
      </w:r>
      <w:r w:rsidR="00BA1F35" w:rsidRPr="00C55F59">
        <w:rPr>
          <w:rStyle w:val="FootnoteReference"/>
          <w:shd w:val="clear" w:color="auto" w:fill="FFFFFF"/>
        </w:rPr>
        <w:footnoteReference w:id="10"/>
      </w:r>
      <w:r w:rsidR="00BA1F35" w:rsidRPr="00C55F59">
        <w:rPr>
          <w:shd w:val="clear" w:color="auto" w:fill="FFFFFF"/>
        </w:rPr>
        <w:t xml:space="preserve">  As patients could access healthcare services without needing to visit a healthcare provider's physical location, </w:t>
      </w:r>
      <w:r w:rsidR="00BA1F35" w:rsidRPr="00C55F59">
        <w:rPr>
          <w:spacing w:val="1"/>
        </w:rPr>
        <w:t xml:space="preserve">telehealth, by minimizing the risk of COVID-19 transmission, </w:t>
      </w:r>
      <w:r w:rsidR="00BA1F35" w:rsidRPr="00C55F59">
        <w:rPr>
          <w:shd w:val="clear" w:color="auto" w:fill="FFFFFF"/>
        </w:rPr>
        <w:t>began to assume an increasingly critical role in healthcare delivery.</w:t>
      </w:r>
      <w:r w:rsidR="00F506B8">
        <w:rPr>
          <w:rStyle w:val="FootnoteReference"/>
          <w:shd w:val="clear" w:color="auto" w:fill="FFFFFF"/>
        </w:rPr>
        <w:footnoteReference w:id="11"/>
      </w:r>
      <w:r w:rsidR="00BA1F35" w:rsidRPr="00C55F59">
        <w:rPr>
          <w:shd w:val="clear" w:color="auto" w:fill="FFFFFF"/>
        </w:rPr>
        <w:t xml:space="preserve">  “</w:t>
      </w:r>
      <w:r w:rsidR="00BA1F35" w:rsidRPr="009878A4">
        <w:rPr>
          <w:shd w:val="clear" w:color="auto" w:fill="FFFFFF"/>
        </w:rPr>
        <w:t xml:space="preserve">Advances in telehealth are transforming health care from a service delivered solely through traditional brick and mortar health care facilities to connected care options delivered via a broadband Internet access connection directly to the </w:t>
      </w:r>
      <w:r w:rsidR="00BA1F35" w:rsidRPr="009252CE">
        <w:rPr>
          <w:shd w:val="clear" w:color="auto" w:fill="FFFFFF"/>
        </w:rPr>
        <w:t>patient's home or mobile location.”</w:t>
      </w:r>
      <w:r w:rsidR="00BA1F35" w:rsidRPr="009252CE">
        <w:rPr>
          <w:rStyle w:val="FootnoteReference"/>
          <w:shd w:val="clear" w:color="auto" w:fill="FFFFFF"/>
        </w:rPr>
        <w:footnoteReference w:id="12"/>
      </w:r>
    </w:p>
    <w:p w14:paraId="4A101736" w14:textId="6C59A615" w:rsidR="003F2A07" w:rsidRDefault="003F2A07" w:rsidP="00030585">
      <w:pPr>
        <w:pStyle w:val="Heading1"/>
      </w:pPr>
      <w:bookmarkStart w:id="5" w:name="_Toc114492043"/>
      <w:bookmarkStart w:id="6" w:name="_Toc115353754"/>
      <w:r>
        <w:t>DISCUSSION</w:t>
      </w:r>
      <w:bookmarkStart w:id="7" w:name="_Toc114492044"/>
      <w:bookmarkEnd w:id="5"/>
      <w:bookmarkEnd w:id="6"/>
      <w:bookmarkEnd w:id="7"/>
    </w:p>
    <w:p w14:paraId="766C7102" w14:textId="610F7871" w:rsidR="00223976" w:rsidRDefault="00E3433F" w:rsidP="00030585">
      <w:pPr>
        <w:pStyle w:val="Heading2"/>
      </w:pPr>
      <w:bookmarkStart w:id="8" w:name="_Toc114492045"/>
      <w:bookmarkStart w:id="9" w:name="_Toc114492046"/>
      <w:bookmarkStart w:id="10" w:name="_Toc114492047"/>
      <w:bookmarkStart w:id="11" w:name="_Toc114492048"/>
      <w:bookmarkStart w:id="12" w:name="_Toc114492049"/>
      <w:bookmarkStart w:id="13" w:name="_Toc114492050"/>
      <w:bookmarkStart w:id="14" w:name="_Toc114492051"/>
      <w:bookmarkStart w:id="15" w:name="_bookmark3"/>
      <w:bookmarkStart w:id="16" w:name="_Toc114492052"/>
      <w:bookmarkStart w:id="17" w:name="_Toc115353755"/>
      <w:bookmarkEnd w:id="8"/>
      <w:bookmarkEnd w:id="9"/>
      <w:bookmarkEnd w:id="10"/>
      <w:bookmarkEnd w:id="11"/>
      <w:bookmarkEnd w:id="12"/>
      <w:bookmarkEnd w:id="13"/>
      <w:bookmarkEnd w:id="14"/>
      <w:bookmarkEnd w:id="15"/>
      <w:r>
        <w:t xml:space="preserve">FCC </w:t>
      </w:r>
      <w:r w:rsidR="000667D7" w:rsidRPr="009252CE">
        <w:t xml:space="preserve">Funding </w:t>
      </w:r>
      <w:r>
        <w:t xml:space="preserve">for </w:t>
      </w:r>
      <w:r w:rsidR="000667D7" w:rsidRPr="009252CE">
        <w:t>Broadband-Enabled Healthcare</w:t>
      </w:r>
      <w:bookmarkEnd w:id="16"/>
      <w:bookmarkEnd w:id="17"/>
    </w:p>
    <w:p w14:paraId="305620C0" w14:textId="5FF64934" w:rsidR="00223976" w:rsidRPr="009252CE" w:rsidRDefault="003F2A07" w:rsidP="00030585">
      <w:pPr>
        <w:ind w:firstLine="720"/>
      </w:pPr>
      <w:r>
        <w:t xml:space="preserve">Developing and sustaining robust broadband infrastructure is capital-intensive.  </w:t>
      </w:r>
      <w:r w:rsidR="00564463">
        <w:t>Over the years, t</w:t>
      </w:r>
      <w:r w:rsidR="00223976">
        <w:t xml:space="preserve">he FCC has established several telehealth funding programs and initiatives </w:t>
      </w:r>
      <w:r>
        <w:t>to help advance and support telehealth networks and services</w:t>
      </w:r>
      <w:r w:rsidR="00223976">
        <w:t>.</w:t>
      </w:r>
    </w:p>
    <w:p w14:paraId="1BB9BDF9" w14:textId="7A52C03F" w:rsidR="00223976" w:rsidRDefault="00223976" w:rsidP="00030585">
      <w:pPr>
        <w:pStyle w:val="Heading3"/>
      </w:pPr>
      <w:bookmarkStart w:id="18" w:name="_Toc114492053"/>
      <w:bookmarkStart w:id="19" w:name="_Toc115353756"/>
      <w:r>
        <w:t xml:space="preserve">Rural Health Care </w:t>
      </w:r>
      <w:r w:rsidR="00C86D20">
        <w:t>Program</w:t>
      </w:r>
      <w:bookmarkEnd w:id="18"/>
      <w:bookmarkEnd w:id="19"/>
      <w:r w:rsidR="00C86D20">
        <w:t xml:space="preserve"> </w:t>
      </w:r>
    </w:p>
    <w:p w14:paraId="40B22B84" w14:textId="65CFB2F4" w:rsidR="00223976" w:rsidRDefault="00223976" w:rsidP="00030585">
      <w:pPr>
        <w:ind w:firstLine="720"/>
      </w:pPr>
      <w:r>
        <w:t xml:space="preserve">Pursuant to </w:t>
      </w:r>
      <w:r w:rsidR="00AF6DFC">
        <w:t xml:space="preserve">universal service </w:t>
      </w:r>
      <w:r>
        <w:t>directives contained in the Telecommunications Act of 1996, the FCC established</w:t>
      </w:r>
      <w:r w:rsidR="00AF6DFC">
        <w:t xml:space="preserve"> </w:t>
      </w:r>
      <w:r>
        <w:t xml:space="preserve">the </w:t>
      </w:r>
      <w:r w:rsidR="00AF6DFC">
        <w:t xml:space="preserve">Rural Health Care </w:t>
      </w:r>
      <w:r w:rsidR="00C86D20">
        <w:t>Program</w:t>
      </w:r>
      <w:r w:rsidR="006F4C35">
        <w:t xml:space="preserve"> (RHCP)</w:t>
      </w:r>
      <w:r w:rsidR="00AF6DFC">
        <w:t>.</w:t>
      </w:r>
      <w:r w:rsidR="00C86D20">
        <w:rPr>
          <w:rStyle w:val="FootnoteReference"/>
        </w:rPr>
        <w:footnoteReference w:id="13"/>
      </w:r>
      <w:r w:rsidR="00C86D20">
        <w:t xml:space="preserve">  T</w:t>
      </w:r>
      <w:r w:rsidR="00C86D20" w:rsidRPr="00C86D20">
        <w:t xml:space="preserve">he </w:t>
      </w:r>
      <w:r w:rsidR="006F4C35">
        <w:t>RHCP</w:t>
      </w:r>
      <w:r w:rsidR="00C86D20" w:rsidRPr="00C86D20">
        <w:t xml:space="preserve"> provides funding to eligible health care providers for telecommunications and broadband services </w:t>
      </w:r>
      <w:r w:rsidR="00564463">
        <w:t xml:space="preserve">that are </w:t>
      </w:r>
      <w:r w:rsidR="00C86D20" w:rsidRPr="00C86D20">
        <w:t xml:space="preserve">necessary for the provision of healthcare.  The </w:t>
      </w:r>
      <w:r w:rsidR="00564463">
        <w:t xml:space="preserve">primary </w:t>
      </w:r>
      <w:r w:rsidR="00C86D20" w:rsidRPr="00C86D20">
        <w:t xml:space="preserve">goal of the program is to improve the quality of health care available to patients in rural communities by ensuring that eligible health care providers have access to telecommunications and broadband services. </w:t>
      </w:r>
      <w:r w:rsidR="00564463">
        <w:t xml:space="preserve"> </w:t>
      </w:r>
      <w:r w:rsidR="00C86D20" w:rsidRPr="00C86D20">
        <w:t>The R</w:t>
      </w:r>
      <w:r w:rsidR="006F4C35">
        <w:t>HCP</w:t>
      </w:r>
      <w:r w:rsidR="00C86D20" w:rsidRPr="00C86D20">
        <w:t xml:space="preserve"> is currently made up of two programs: the Healthcare Connect Fund Program and the Telecommunications Program. </w:t>
      </w:r>
      <w:r w:rsidR="00C86D20">
        <w:t xml:space="preserve"> </w:t>
      </w:r>
      <w:r w:rsidR="00C86D20" w:rsidRPr="00C86D20">
        <w:t>The Healthcare Connect Fund Program, established in 2012, provides support for high-capacity broadband connectivity to eligible health care providers and encourages the formation of state and regional broadband health care provider networks.  The Telecommunications Program, established in 1997, subsidizes the difference between urban and rural rates for telecommunications services.</w:t>
      </w:r>
      <w:r w:rsidR="00564463">
        <w:t xml:space="preserve"> </w:t>
      </w:r>
      <w:r w:rsidR="00C86D20" w:rsidRPr="00C86D20">
        <w:t xml:space="preserve"> Under the Telecommunications Program, eligible rural health care providers can obtain rates on telecommunications services in rural areas that are reasonably comparable to rates charged for similar services in corresponding urban areas.</w:t>
      </w:r>
    </w:p>
    <w:p w14:paraId="7C05BDC7" w14:textId="62A5F11F" w:rsidR="00EF1C61" w:rsidRPr="00715A1E" w:rsidRDefault="00EF1C61" w:rsidP="00030585">
      <w:pPr>
        <w:pStyle w:val="Heading3"/>
      </w:pPr>
      <w:bookmarkStart w:id="20" w:name="_Toc114492054"/>
      <w:bookmarkStart w:id="21" w:name="_Toc115353757"/>
      <w:r w:rsidRPr="00715A1E">
        <w:lastRenderedPageBreak/>
        <w:t xml:space="preserve">The </w:t>
      </w:r>
      <w:r w:rsidR="0011082C" w:rsidRPr="00715A1E">
        <w:t>COVID-19 Telehealth Program</w:t>
      </w:r>
      <w:bookmarkEnd w:id="20"/>
      <w:bookmarkEnd w:id="21"/>
    </w:p>
    <w:p w14:paraId="5EDC7024" w14:textId="64EEDF05" w:rsidR="0014024E" w:rsidRDefault="00E07D3A" w:rsidP="006D7183">
      <w:pPr>
        <w:pStyle w:val="BodyText"/>
        <w:spacing w:before="120" w:after="120"/>
        <w:ind w:left="0" w:firstLine="720"/>
        <w:rPr>
          <w:shd w:val="clear" w:color="auto" w:fill="FFFFFF"/>
        </w:rPr>
      </w:pPr>
      <w:r>
        <w:rPr>
          <w:shd w:val="clear" w:color="auto" w:fill="FFFFFF"/>
        </w:rPr>
        <w:t xml:space="preserve">The FCC has established several programs to ensure that Americans stay connected during </w:t>
      </w:r>
      <w:r w:rsidR="002C488D">
        <w:rPr>
          <w:shd w:val="clear" w:color="auto" w:fill="FFFFFF"/>
        </w:rPr>
        <w:t xml:space="preserve">the </w:t>
      </w:r>
      <w:r>
        <w:rPr>
          <w:shd w:val="clear" w:color="auto" w:fill="FFFFFF"/>
        </w:rPr>
        <w:t>COVID-19 pandemic.</w:t>
      </w:r>
      <w:r>
        <w:rPr>
          <w:rStyle w:val="FootnoteReference"/>
          <w:shd w:val="clear" w:color="auto" w:fill="FFFFFF"/>
        </w:rPr>
        <w:footnoteReference w:id="14"/>
      </w:r>
      <w:r>
        <w:rPr>
          <w:shd w:val="clear" w:color="auto" w:fill="FFFFFF"/>
        </w:rPr>
        <w:t xml:space="preserve"> </w:t>
      </w:r>
      <w:r w:rsidR="00553594">
        <w:rPr>
          <w:shd w:val="clear" w:color="auto" w:fill="FFFFFF"/>
        </w:rPr>
        <w:t xml:space="preserve"> First, i</w:t>
      </w:r>
      <w:r w:rsidR="00F433DA" w:rsidRPr="00715A1E">
        <w:rPr>
          <w:shd w:val="clear" w:color="auto" w:fill="FFFFFF"/>
        </w:rPr>
        <w:t>n response to the outbreak, the Coronavirus Aid, Relief, and Economic Security (CARES) Act</w:t>
      </w:r>
      <w:r w:rsidR="00314424">
        <w:rPr>
          <w:rStyle w:val="FootnoteReference"/>
          <w:shd w:val="clear" w:color="auto" w:fill="FFFFFF"/>
        </w:rPr>
        <w:footnoteReference w:id="15"/>
      </w:r>
      <w:r w:rsidR="00F433DA" w:rsidRPr="00715A1E">
        <w:rPr>
          <w:shd w:val="clear" w:color="auto" w:fill="FFFFFF"/>
        </w:rPr>
        <w:t xml:space="preserve"> </w:t>
      </w:r>
      <w:r w:rsidR="00575DA5" w:rsidRPr="00715A1E">
        <w:rPr>
          <w:shd w:val="clear" w:color="auto" w:fill="FFFFFF"/>
        </w:rPr>
        <w:t>was enacted,</w:t>
      </w:r>
      <w:r w:rsidR="00564463">
        <w:rPr>
          <w:shd w:val="clear" w:color="auto" w:fill="FFFFFF"/>
        </w:rPr>
        <w:t xml:space="preserve"> </w:t>
      </w:r>
      <w:r w:rsidR="00F433DA" w:rsidRPr="00715A1E">
        <w:rPr>
          <w:shd w:val="clear" w:color="auto" w:fill="FFFFFF"/>
        </w:rPr>
        <w:t xml:space="preserve">providing, among </w:t>
      </w:r>
      <w:r w:rsidR="00575DA5" w:rsidRPr="00715A1E">
        <w:rPr>
          <w:shd w:val="clear" w:color="auto" w:fill="FFFFFF"/>
        </w:rPr>
        <w:t>other things</w:t>
      </w:r>
      <w:r w:rsidR="00F433DA" w:rsidRPr="00715A1E">
        <w:rPr>
          <w:shd w:val="clear" w:color="auto" w:fill="FFFFFF"/>
        </w:rPr>
        <w:t>, $2</w:t>
      </w:r>
      <w:r w:rsidR="0050638C">
        <w:rPr>
          <w:shd w:val="clear" w:color="auto" w:fill="FFFFFF"/>
        </w:rPr>
        <w:t>00</w:t>
      </w:r>
      <w:r w:rsidR="00F433DA" w:rsidRPr="00715A1E">
        <w:rPr>
          <w:shd w:val="clear" w:color="auto" w:fill="FFFFFF"/>
        </w:rPr>
        <w:t xml:space="preserve"> million</w:t>
      </w:r>
      <w:r w:rsidR="004D3925">
        <w:rPr>
          <w:shd w:val="clear" w:color="auto" w:fill="FFFFFF"/>
        </w:rPr>
        <w:t xml:space="preserve"> </w:t>
      </w:r>
      <w:r w:rsidR="004D3925" w:rsidRPr="00715A1E">
        <w:rPr>
          <w:shd w:val="clear" w:color="auto" w:fill="FFFFFF"/>
        </w:rPr>
        <w:t>to the FCC to support healthcare providers in the fight against COVID-19.</w:t>
      </w:r>
      <w:r w:rsidR="00F433DA" w:rsidRPr="00715A1E">
        <w:rPr>
          <w:shd w:val="clear" w:color="auto" w:fill="FFFFFF"/>
        </w:rPr>
        <w:t xml:space="preserve"> </w:t>
      </w:r>
      <w:r w:rsidR="00575DA5" w:rsidRPr="00715A1E">
        <w:rPr>
          <w:shd w:val="clear" w:color="auto" w:fill="FFFFFF"/>
        </w:rPr>
        <w:t xml:space="preserve"> T</w:t>
      </w:r>
      <w:r w:rsidR="00F433DA" w:rsidRPr="00715A1E">
        <w:rPr>
          <w:shd w:val="clear" w:color="auto" w:fill="FFFFFF"/>
        </w:rPr>
        <w:t xml:space="preserve">o </w:t>
      </w:r>
      <w:r w:rsidR="00575DA5" w:rsidRPr="00715A1E">
        <w:rPr>
          <w:shd w:val="clear" w:color="auto" w:fill="FFFFFF"/>
        </w:rPr>
        <w:t xml:space="preserve">implement </w:t>
      </w:r>
      <w:r w:rsidR="00F433DA" w:rsidRPr="00715A1E">
        <w:rPr>
          <w:shd w:val="clear" w:color="auto" w:fill="FFFFFF"/>
        </w:rPr>
        <w:t xml:space="preserve">the CARES Act, </w:t>
      </w:r>
      <w:r w:rsidR="00575DA5" w:rsidRPr="00715A1E">
        <w:rPr>
          <w:shd w:val="clear" w:color="auto" w:fill="FFFFFF"/>
        </w:rPr>
        <w:t>the FCC</w:t>
      </w:r>
      <w:r w:rsidR="00F433DA" w:rsidRPr="00715A1E">
        <w:rPr>
          <w:shd w:val="clear" w:color="auto" w:fill="FFFFFF"/>
        </w:rPr>
        <w:t xml:space="preserve"> establish</w:t>
      </w:r>
      <w:r w:rsidR="00575DA5" w:rsidRPr="00715A1E">
        <w:rPr>
          <w:shd w:val="clear" w:color="auto" w:fill="FFFFFF"/>
        </w:rPr>
        <w:t>ed</w:t>
      </w:r>
      <w:r w:rsidR="00F433DA" w:rsidRPr="00715A1E">
        <w:rPr>
          <w:shd w:val="clear" w:color="auto" w:fill="FFFFFF"/>
        </w:rPr>
        <w:t xml:space="preserve"> </w:t>
      </w:r>
      <w:r w:rsidR="00575DA5" w:rsidRPr="00715A1E">
        <w:rPr>
          <w:shd w:val="clear" w:color="auto" w:fill="FFFFFF"/>
        </w:rPr>
        <w:t xml:space="preserve">the </w:t>
      </w:r>
      <w:r w:rsidR="00F433DA" w:rsidRPr="00715A1E">
        <w:rPr>
          <w:shd w:val="clear" w:color="auto" w:fill="FFFFFF"/>
        </w:rPr>
        <w:t xml:space="preserve">COVID-19 Telehealth Program, to help eligible healthcare providers </w:t>
      </w:r>
      <w:r w:rsidR="00934E28" w:rsidRPr="00715A1E">
        <w:rPr>
          <w:shd w:val="clear" w:color="auto" w:fill="FFFFFF"/>
        </w:rPr>
        <w:t>“</w:t>
      </w:r>
      <w:r w:rsidR="00F433DA" w:rsidRPr="00715A1E">
        <w:rPr>
          <w:shd w:val="clear" w:color="auto" w:fill="FFFFFF"/>
        </w:rPr>
        <w:t>maximize their provision of connected care services during the COVID-19 pandemic.</w:t>
      </w:r>
      <w:r w:rsidR="00934E28" w:rsidRPr="00715A1E">
        <w:rPr>
          <w:shd w:val="clear" w:color="auto" w:fill="FFFFFF"/>
        </w:rPr>
        <w:t>”</w:t>
      </w:r>
      <w:r w:rsidR="00F433DA" w:rsidRPr="00715A1E">
        <w:rPr>
          <w:rStyle w:val="FootnoteReference"/>
          <w:shd w:val="clear" w:color="auto" w:fill="FFFFFF"/>
        </w:rPr>
        <w:footnoteReference w:id="16"/>
      </w:r>
      <w:r w:rsidR="00934E28" w:rsidRPr="00715A1E">
        <w:rPr>
          <w:shd w:val="clear" w:color="auto" w:fill="FFFFFF"/>
        </w:rPr>
        <w:t xml:space="preserve"> </w:t>
      </w:r>
      <w:r w:rsidR="00715A1E" w:rsidRPr="00715A1E">
        <w:rPr>
          <w:shd w:val="clear" w:color="auto" w:fill="FFFFFF"/>
        </w:rPr>
        <w:t xml:space="preserve"> </w:t>
      </w:r>
      <w:r w:rsidR="006622F9">
        <w:t>I</w:t>
      </w:r>
      <w:r w:rsidR="006622F9" w:rsidRPr="46A0E309">
        <w:t>n December 2020, as part of the Consolidated Appropriations Act,</w:t>
      </w:r>
      <w:r w:rsidR="006622F9" w:rsidRPr="006F4216">
        <w:t xml:space="preserve"> 2021,</w:t>
      </w:r>
      <w:r w:rsidR="006622F9">
        <w:rPr>
          <w:rStyle w:val="FootnoteReference"/>
        </w:rPr>
        <w:footnoteReference w:id="17"/>
      </w:r>
      <w:r w:rsidR="006622F9" w:rsidRPr="46A0E309">
        <w:t xml:space="preserve"> Congress appropriated $249.95 million in additional funding for the </w:t>
      </w:r>
      <w:r w:rsidR="006622F9">
        <w:t xml:space="preserve">second round of the COVID-19 Telehealth </w:t>
      </w:r>
      <w:r w:rsidR="006622F9" w:rsidRPr="46A0E309">
        <w:t>Program</w:t>
      </w:r>
      <w:r w:rsidR="006622F9">
        <w:t xml:space="preserve"> (“Round 2”).</w:t>
      </w:r>
      <w:r w:rsidR="006622F9">
        <w:rPr>
          <w:rStyle w:val="FootnoteReference"/>
        </w:rPr>
        <w:footnoteReference w:id="18"/>
      </w:r>
      <w:r w:rsidR="006622F9">
        <w:t xml:space="preserve"> </w:t>
      </w:r>
      <w:r w:rsidR="006622F9" w:rsidRPr="00715A1E">
        <w:rPr>
          <w:shd w:val="clear" w:color="auto" w:fill="FFFFFF"/>
        </w:rPr>
        <w:t xml:space="preserve"> </w:t>
      </w:r>
      <w:r w:rsidR="00E477FE" w:rsidRPr="00715A1E">
        <w:rPr>
          <w:shd w:val="clear" w:color="auto" w:fill="FFFFFF"/>
        </w:rPr>
        <w:t>The COVID-19 Telehealth Program</w:t>
      </w:r>
      <w:r w:rsidR="00E545F9" w:rsidRPr="00715A1E">
        <w:rPr>
          <w:shd w:val="clear" w:color="auto" w:fill="FFFFFF"/>
        </w:rPr>
        <w:t xml:space="preserve"> </w:t>
      </w:r>
      <w:r w:rsidR="00E26202" w:rsidRPr="00715A1E">
        <w:rPr>
          <w:shd w:val="clear" w:color="auto" w:fill="FFFFFF"/>
        </w:rPr>
        <w:t>provid</w:t>
      </w:r>
      <w:r w:rsidR="00E477FE" w:rsidRPr="00715A1E">
        <w:rPr>
          <w:shd w:val="clear" w:color="auto" w:fill="FFFFFF"/>
        </w:rPr>
        <w:t>es</w:t>
      </w:r>
      <w:r w:rsidR="00E26202" w:rsidRPr="00715A1E">
        <w:rPr>
          <w:shd w:val="clear" w:color="auto" w:fill="FFFFFF"/>
        </w:rPr>
        <w:t xml:space="preserve"> funding on a temporary basis</w:t>
      </w:r>
      <w:r w:rsidR="00770A78" w:rsidRPr="00715A1E">
        <w:rPr>
          <w:shd w:val="clear" w:color="auto" w:fill="FFFFFF"/>
        </w:rPr>
        <w:t xml:space="preserve"> </w:t>
      </w:r>
      <w:r w:rsidR="006622F9">
        <w:rPr>
          <w:shd w:val="clear" w:color="auto" w:fill="FFFFFF"/>
        </w:rPr>
        <w:t xml:space="preserve">to eligible healthcare providers </w:t>
      </w:r>
      <w:r w:rsidR="00770A78" w:rsidRPr="00715A1E">
        <w:rPr>
          <w:shd w:val="clear" w:color="auto" w:fill="FFFFFF"/>
        </w:rPr>
        <w:t>for telecommunications and information services and the</w:t>
      </w:r>
      <w:r w:rsidR="006622F9">
        <w:rPr>
          <w:shd w:val="clear" w:color="auto" w:fill="FFFFFF"/>
        </w:rPr>
        <w:t xml:space="preserve"> connected</w:t>
      </w:r>
      <w:r w:rsidR="00770A78" w:rsidRPr="00715A1E">
        <w:rPr>
          <w:shd w:val="clear" w:color="auto" w:fill="FFFFFF"/>
        </w:rPr>
        <w:t xml:space="preserve"> devices </w:t>
      </w:r>
      <w:r w:rsidR="00564463">
        <w:rPr>
          <w:shd w:val="clear" w:color="auto" w:fill="FFFFFF"/>
        </w:rPr>
        <w:t xml:space="preserve">that are </w:t>
      </w:r>
      <w:r w:rsidR="00770A78" w:rsidRPr="00715A1E">
        <w:rPr>
          <w:shd w:val="clear" w:color="auto" w:fill="FFFFFF"/>
        </w:rPr>
        <w:t xml:space="preserve">necessary for the </w:t>
      </w:r>
      <w:r w:rsidR="006622F9">
        <w:rPr>
          <w:shd w:val="clear" w:color="auto" w:fill="FFFFFF"/>
        </w:rPr>
        <w:t>provision</w:t>
      </w:r>
      <w:r w:rsidR="006622F9" w:rsidRPr="00715A1E">
        <w:rPr>
          <w:shd w:val="clear" w:color="auto" w:fill="FFFFFF"/>
        </w:rPr>
        <w:t xml:space="preserve"> </w:t>
      </w:r>
      <w:r w:rsidR="00770A78" w:rsidRPr="00715A1E">
        <w:rPr>
          <w:shd w:val="clear" w:color="auto" w:fill="FFFFFF"/>
        </w:rPr>
        <w:t>of telehealth services.</w:t>
      </w:r>
      <w:r w:rsidR="00283FEC" w:rsidRPr="00715A1E">
        <w:rPr>
          <w:shd w:val="clear" w:color="auto" w:fill="FFFFFF"/>
        </w:rPr>
        <w:t xml:space="preserve">  </w:t>
      </w:r>
      <w:r w:rsidR="00715A1E" w:rsidRPr="00715A1E">
        <w:rPr>
          <w:shd w:val="clear" w:color="auto" w:fill="FFFFFF"/>
        </w:rPr>
        <w:t>“</w:t>
      </w:r>
      <w:r w:rsidR="004D41F1" w:rsidRPr="00715A1E">
        <w:rPr>
          <w:shd w:val="clear" w:color="auto" w:fill="FFFFFF"/>
        </w:rPr>
        <w:t>This includes support for services and/or devices that generate and transmit patient-reported outcomes from patients to health care providers.</w:t>
      </w:r>
      <w:r w:rsidR="00564463">
        <w:rPr>
          <w:shd w:val="clear" w:color="auto" w:fill="FFFFFF"/>
        </w:rPr>
        <w:t xml:space="preserve"> </w:t>
      </w:r>
      <w:r w:rsidR="00F53BB5">
        <w:rPr>
          <w:shd w:val="clear" w:color="auto" w:fill="FFFFFF"/>
        </w:rPr>
        <w:t xml:space="preserve"> </w:t>
      </w:r>
      <w:r w:rsidR="004D41F1" w:rsidRPr="00715A1E">
        <w:rPr>
          <w:shd w:val="clear" w:color="auto" w:fill="FFFFFF"/>
        </w:rPr>
        <w:t>Such services could include an end-user device, such as a smartphone or tablet, that allows the patient to report his or her health conditions directly to a provider, independent or in conjunction with other connected medical monitoring devices.</w:t>
      </w:r>
      <w:r w:rsidR="00715A1E" w:rsidRPr="00715A1E">
        <w:rPr>
          <w:shd w:val="clear" w:color="auto" w:fill="FFFFFF"/>
        </w:rPr>
        <w:t>”</w:t>
      </w:r>
      <w:r w:rsidR="00E35603" w:rsidRPr="00E35603">
        <w:rPr>
          <w:rStyle w:val="FootnoteReference"/>
          <w:shd w:val="clear" w:color="auto" w:fill="FFFFFF"/>
        </w:rPr>
        <w:t xml:space="preserve"> </w:t>
      </w:r>
      <w:r w:rsidR="00E35603" w:rsidRPr="00715A1E">
        <w:rPr>
          <w:rStyle w:val="FootnoteReference"/>
          <w:shd w:val="clear" w:color="auto" w:fill="FFFFFF"/>
        </w:rPr>
        <w:footnoteReference w:id="19"/>
      </w:r>
      <w:r w:rsidR="00280E8C">
        <w:rPr>
          <w:shd w:val="clear" w:color="auto" w:fill="FFFFFF"/>
        </w:rPr>
        <w:t xml:space="preserve">  </w:t>
      </w:r>
      <w:r w:rsidR="00280E8C" w:rsidRPr="00222B4E">
        <w:rPr>
          <w:shd w:val="clear" w:color="auto" w:fill="FFFFFF"/>
        </w:rPr>
        <w:t>The COVID-19 Telehealth Program provide</w:t>
      </w:r>
      <w:r w:rsidR="000667D7">
        <w:rPr>
          <w:shd w:val="clear" w:color="auto" w:fill="FFFFFF"/>
        </w:rPr>
        <w:t>s</w:t>
      </w:r>
      <w:r w:rsidR="00280E8C" w:rsidRPr="00222B4E">
        <w:rPr>
          <w:shd w:val="clear" w:color="auto" w:fill="FFFFFF"/>
        </w:rPr>
        <w:t xml:space="preserve"> selected applicants </w:t>
      </w:r>
      <w:r w:rsidR="00280E8C">
        <w:rPr>
          <w:shd w:val="clear" w:color="auto" w:fill="FFFFFF"/>
        </w:rPr>
        <w:t xml:space="preserve">with </w:t>
      </w:r>
      <w:r w:rsidR="00280E8C" w:rsidRPr="00222B4E">
        <w:rPr>
          <w:shd w:val="clear" w:color="auto" w:fill="FFFFFF"/>
        </w:rPr>
        <w:t xml:space="preserve">full funding for eligible services and </w:t>
      </w:r>
      <w:r w:rsidR="006622F9">
        <w:rPr>
          <w:shd w:val="clear" w:color="auto" w:fill="FFFFFF"/>
        </w:rPr>
        <w:t xml:space="preserve">connected </w:t>
      </w:r>
      <w:r w:rsidR="00280E8C" w:rsidRPr="00222B4E">
        <w:rPr>
          <w:shd w:val="clear" w:color="auto" w:fill="FFFFFF"/>
        </w:rPr>
        <w:t>devices</w:t>
      </w:r>
      <w:r w:rsidR="006622F9">
        <w:rPr>
          <w:shd w:val="clear" w:color="auto" w:fill="FFFFFF"/>
        </w:rPr>
        <w:t xml:space="preserve"> for telehealth.</w:t>
      </w:r>
      <w:r w:rsidR="00564463">
        <w:rPr>
          <w:shd w:val="clear" w:color="auto" w:fill="FFFFFF"/>
        </w:rPr>
        <w:t xml:space="preserve">  The Commission capped </w:t>
      </w:r>
      <w:r w:rsidR="00564463">
        <w:t>e</w:t>
      </w:r>
      <w:r w:rsidR="006622F9">
        <w:t xml:space="preserve">ach </w:t>
      </w:r>
      <w:r w:rsidR="006622F9" w:rsidRPr="006F4216">
        <w:t>awardee</w:t>
      </w:r>
      <w:r w:rsidR="006622F9">
        <w:t xml:space="preserve"> at $1 million </w:t>
      </w:r>
      <w:r w:rsidR="006622F9" w:rsidRPr="006F4216">
        <w:t xml:space="preserve">in funding </w:t>
      </w:r>
      <w:r w:rsidR="006622F9">
        <w:t>per round</w:t>
      </w:r>
      <w:r w:rsidR="006622F9">
        <w:rPr>
          <w:shd w:val="clear" w:color="auto" w:fill="FFFFFF"/>
        </w:rPr>
        <w:t xml:space="preserve">.  </w:t>
      </w:r>
      <w:r w:rsidR="00280E8C" w:rsidRPr="00222B4E">
        <w:rPr>
          <w:shd w:val="clear" w:color="auto" w:fill="FFFFFF"/>
        </w:rPr>
        <w:t xml:space="preserve">The COVID-19 Telehealth Program will be available until the </w:t>
      </w:r>
      <w:r w:rsidR="00564463">
        <w:rPr>
          <w:shd w:val="clear" w:color="auto" w:fill="FFFFFF"/>
        </w:rPr>
        <w:t>allocated funds are</w:t>
      </w:r>
      <w:r w:rsidR="00280E8C" w:rsidRPr="00222B4E">
        <w:rPr>
          <w:shd w:val="clear" w:color="auto" w:fill="FFFFFF"/>
        </w:rPr>
        <w:t xml:space="preserve"> expended or until the current pandemic has ended.</w:t>
      </w:r>
      <w:r w:rsidR="006622F9">
        <w:rPr>
          <w:shd w:val="clear" w:color="auto" w:fill="FFFFFF"/>
        </w:rPr>
        <w:t xml:space="preserve">  </w:t>
      </w:r>
      <w:r w:rsidR="006622F9">
        <w:t>For Round 1, the FCC issued awards for 539 applications,</w:t>
      </w:r>
      <w:r w:rsidR="006622F9">
        <w:rPr>
          <w:rStyle w:val="FootnoteReference"/>
        </w:rPr>
        <w:footnoteReference w:id="20"/>
      </w:r>
      <w:r w:rsidR="006622F9">
        <w:t xml:space="preserve"> and for Round 2, the FCC issued awards for </w:t>
      </w:r>
      <w:r w:rsidR="006622F9" w:rsidRPr="006F4216">
        <w:t>446</w:t>
      </w:r>
      <w:r w:rsidR="006622F9">
        <w:t xml:space="preserve"> applications.</w:t>
      </w:r>
      <w:r w:rsidR="006622F9">
        <w:rPr>
          <w:rStyle w:val="FootnoteReference"/>
        </w:rPr>
        <w:footnoteReference w:id="21"/>
      </w:r>
    </w:p>
    <w:p w14:paraId="23E7F0AE" w14:textId="7BF98CE3" w:rsidR="0014024E" w:rsidRDefault="0014024E" w:rsidP="00030585">
      <w:pPr>
        <w:pStyle w:val="Heading3"/>
      </w:pPr>
      <w:bookmarkStart w:id="22" w:name="_Toc114492055"/>
      <w:bookmarkStart w:id="23" w:name="_Toc115353758"/>
      <w:r>
        <w:lastRenderedPageBreak/>
        <w:t>T</w:t>
      </w:r>
      <w:r w:rsidRPr="00715A1E">
        <w:t>he Connected Care Pilot Program</w:t>
      </w:r>
      <w:bookmarkEnd w:id="22"/>
      <w:bookmarkEnd w:id="23"/>
    </w:p>
    <w:p w14:paraId="127C9B96" w14:textId="5B762918" w:rsidR="004C49A6" w:rsidRDefault="00F52676" w:rsidP="0014024E">
      <w:pPr>
        <w:pStyle w:val="BodyText"/>
        <w:spacing w:before="120" w:after="120"/>
        <w:ind w:left="0" w:firstLine="720"/>
        <w:rPr>
          <w:shd w:val="clear" w:color="auto" w:fill="FFFFFF"/>
        </w:rPr>
      </w:pPr>
      <w:r w:rsidRPr="000E14C1">
        <w:rPr>
          <w:shd w:val="clear" w:color="auto" w:fill="FFFFFF"/>
        </w:rPr>
        <w:t>The FCC also established the Connected Care Pilot Program</w:t>
      </w:r>
      <w:r w:rsidR="008D03A9">
        <w:rPr>
          <w:shd w:val="clear" w:color="auto" w:fill="FFFFFF"/>
        </w:rPr>
        <w:t xml:space="preserve"> (Pilot Program)</w:t>
      </w:r>
      <w:r w:rsidRPr="000E14C1">
        <w:rPr>
          <w:shd w:val="clear" w:color="auto" w:fill="FFFFFF"/>
        </w:rPr>
        <w:t xml:space="preserve">, </w:t>
      </w:r>
      <w:r w:rsidR="00564463">
        <w:rPr>
          <w:shd w:val="clear" w:color="auto" w:fill="FFFFFF"/>
        </w:rPr>
        <w:t xml:space="preserve">which is </w:t>
      </w:r>
      <w:r w:rsidR="005B70D5" w:rsidRPr="000E14C1">
        <w:rPr>
          <w:shd w:val="clear" w:color="auto" w:fill="FFFFFF"/>
        </w:rPr>
        <w:t xml:space="preserve">a </w:t>
      </w:r>
      <w:r w:rsidRPr="000E14C1">
        <w:rPr>
          <w:shd w:val="clear" w:color="auto" w:fill="FFFFFF"/>
        </w:rPr>
        <w:t xml:space="preserve">limited duration </w:t>
      </w:r>
      <w:r w:rsidR="00671EF2">
        <w:rPr>
          <w:shd w:val="clear" w:color="auto" w:fill="FFFFFF"/>
        </w:rPr>
        <w:t xml:space="preserve">pilot </w:t>
      </w:r>
      <w:r w:rsidRPr="000E14C1">
        <w:rPr>
          <w:shd w:val="clear" w:color="auto" w:fill="FFFFFF"/>
        </w:rPr>
        <w:t xml:space="preserve">program </w:t>
      </w:r>
      <w:r w:rsidR="006D7183">
        <w:rPr>
          <w:shd w:val="clear" w:color="auto" w:fill="FFFFFF"/>
        </w:rPr>
        <w:t xml:space="preserve">aimed at </w:t>
      </w:r>
      <w:r w:rsidRPr="000E14C1">
        <w:rPr>
          <w:shd w:val="clear" w:color="auto" w:fill="FFFFFF"/>
        </w:rPr>
        <w:t>“</w:t>
      </w:r>
      <w:proofErr w:type="spellStart"/>
      <w:r w:rsidRPr="000E14C1">
        <w:rPr>
          <w:shd w:val="clear" w:color="auto" w:fill="FFFFFF"/>
        </w:rPr>
        <w:t>provid</w:t>
      </w:r>
      <w:proofErr w:type="spellEnd"/>
      <w:r w:rsidR="006D7183">
        <w:rPr>
          <w:shd w:val="clear" w:color="auto" w:fill="FFFFFF"/>
        </w:rPr>
        <w:t>[</w:t>
      </w:r>
      <w:proofErr w:type="spellStart"/>
      <w:r w:rsidR="006D7183">
        <w:rPr>
          <w:shd w:val="clear" w:color="auto" w:fill="FFFFFF"/>
        </w:rPr>
        <w:t>ing</w:t>
      </w:r>
      <w:proofErr w:type="spellEnd"/>
      <w:r w:rsidR="006D7183">
        <w:rPr>
          <w:shd w:val="clear" w:color="auto" w:fill="FFFFFF"/>
        </w:rPr>
        <w:t>]</w:t>
      </w:r>
      <w:r w:rsidRPr="000E14C1">
        <w:rPr>
          <w:shd w:val="clear" w:color="auto" w:fill="FFFFFF"/>
        </w:rPr>
        <w:t xml:space="preserve"> universal service support to help defray health care providers</w:t>
      </w:r>
      <w:r w:rsidR="008D03A9">
        <w:rPr>
          <w:shd w:val="clear" w:color="auto" w:fill="FFFFFF"/>
        </w:rPr>
        <w:t>’</w:t>
      </w:r>
      <w:r w:rsidRPr="000E14C1">
        <w:rPr>
          <w:shd w:val="clear" w:color="auto" w:fill="FFFFFF"/>
        </w:rPr>
        <w:t xml:space="preserve"> qualifying costs of providing connected care services, with a primary focus on providing these services to low-income or veteran patients.”</w:t>
      </w:r>
      <w:r w:rsidR="000E14C1">
        <w:rPr>
          <w:rStyle w:val="FootnoteReference"/>
          <w:shd w:val="clear" w:color="auto" w:fill="FFFFFF"/>
        </w:rPr>
        <w:footnoteReference w:id="22"/>
      </w:r>
      <w:r w:rsidRPr="000E14C1">
        <w:rPr>
          <w:shd w:val="clear" w:color="auto" w:fill="FFFFFF"/>
        </w:rPr>
        <w:t xml:space="preserve">  </w:t>
      </w:r>
      <w:r w:rsidR="00AE7137" w:rsidRPr="000E14C1">
        <w:rPr>
          <w:shd w:val="clear" w:color="auto" w:fill="FFFFFF"/>
        </w:rPr>
        <w:t xml:space="preserve">The Pilot Program </w:t>
      </w:r>
      <w:r w:rsidR="00266251" w:rsidRPr="000E14C1">
        <w:rPr>
          <w:shd w:val="clear" w:color="auto" w:fill="FFFFFF"/>
        </w:rPr>
        <w:t xml:space="preserve">supports </w:t>
      </w:r>
      <w:r w:rsidR="00671EF2">
        <w:rPr>
          <w:shd w:val="clear" w:color="auto" w:fill="FFFFFF"/>
        </w:rPr>
        <w:t xml:space="preserve">eligible </w:t>
      </w:r>
      <w:r w:rsidRPr="000E14C1">
        <w:rPr>
          <w:shd w:val="clear" w:color="auto" w:fill="FFFFFF"/>
        </w:rPr>
        <w:t xml:space="preserve">healthcare </w:t>
      </w:r>
      <w:r w:rsidR="00AE7137" w:rsidRPr="000E14C1">
        <w:rPr>
          <w:shd w:val="clear" w:color="auto" w:fill="FFFFFF"/>
        </w:rPr>
        <w:t>providers’</w:t>
      </w:r>
      <w:r w:rsidRPr="000E14C1">
        <w:rPr>
          <w:shd w:val="clear" w:color="auto" w:fill="FFFFFF"/>
        </w:rPr>
        <w:t xml:space="preserve"> efforts to advance connected care initiatives</w:t>
      </w:r>
      <w:r w:rsidR="00266251" w:rsidRPr="000E14C1">
        <w:rPr>
          <w:shd w:val="clear" w:color="auto" w:fill="FFFFFF"/>
        </w:rPr>
        <w:t xml:space="preserve"> with the hope of</w:t>
      </w:r>
      <w:r w:rsidRPr="000E14C1">
        <w:rPr>
          <w:shd w:val="clear" w:color="auto" w:fill="FFFFFF"/>
        </w:rPr>
        <w:t xml:space="preserve"> maximiz</w:t>
      </w:r>
      <w:r w:rsidR="00266251" w:rsidRPr="000E14C1">
        <w:rPr>
          <w:shd w:val="clear" w:color="auto" w:fill="FFFFFF"/>
        </w:rPr>
        <w:t>ing</w:t>
      </w:r>
      <w:r w:rsidRPr="000E14C1">
        <w:rPr>
          <w:shd w:val="clear" w:color="auto" w:fill="FFFFFF"/>
        </w:rPr>
        <w:t xml:space="preserve"> </w:t>
      </w:r>
      <w:r w:rsidR="00266251" w:rsidRPr="000E14C1">
        <w:rPr>
          <w:shd w:val="clear" w:color="auto" w:fill="FFFFFF"/>
        </w:rPr>
        <w:t>“</w:t>
      </w:r>
      <w:r w:rsidRPr="000E14C1">
        <w:rPr>
          <w:shd w:val="clear" w:color="auto" w:fill="FFFFFF"/>
        </w:rPr>
        <w:t xml:space="preserve">the potential for meaningful data about the benefits of connected care, and how and whether </w:t>
      </w:r>
      <w:r w:rsidR="00824EED">
        <w:rPr>
          <w:shd w:val="clear" w:color="auto" w:fill="FFFFFF"/>
        </w:rPr>
        <w:t xml:space="preserve">Federal </w:t>
      </w:r>
      <w:r w:rsidRPr="000E14C1">
        <w:rPr>
          <w:shd w:val="clear" w:color="auto" w:fill="FFFFFF"/>
        </w:rPr>
        <w:t>Universal Service Fund support could be used more broadly in the future to enable the adoption of connected care services among patients and their health care providers.</w:t>
      </w:r>
      <w:r w:rsidR="00266251" w:rsidRPr="000E14C1">
        <w:rPr>
          <w:shd w:val="clear" w:color="auto" w:fill="FFFFFF"/>
        </w:rPr>
        <w:t>”</w:t>
      </w:r>
      <w:r w:rsidR="00DB0CD0">
        <w:rPr>
          <w:rStyle w:val="FootnoteReference"/>
          <w:shd w:val="clear" w:color="auto" w:fill="FFFFFF"/>
        </w:rPr>
        <w:footnoteReference w:id="23"/>
      </w:r>
      <w:r w:rsidR="008D03A9">
        <w:rPr>
          <w:shd w:val="clear" w:color="auto" w:fill="FFFFFF"/>
        </w:rPr>
        <w:t xml:space="preserve">  The </w:t>
      </w:r>
      <w:r w:rsidR="001542C4">
        <w:rPr>
          <w:shd w:val="clear" w:color="auto" w:fill="FFFFFF"/>
        </w:rPr>
        <w:t xml:space="preserve">three-year </w:t>
      </w:r>
      <w:r w:rsidR="008D03A9">
        <w:rPr>
          <w:shd w:val="clear" w:color="auto" w:fill="FFFFFF"/>
        </w:rPr>
        <w:t xml:space="preserve">Pilot Program </w:t>
      </w:r>
      <w:r w:rsidR="00E12E02" w:rsidRPr="000E14C1">
        <w:rPr>
          <w:shd w:val="clear" w:color="auto" w:fill="FFFFFF"/>
        </w:rPr>
        <w:t xml:space="preserve"> will, in the long term</w:t>
      </w:r>
      <w:r w:rsidR="00E12E02">
        <w:rPr>
          <w:shd w:val="clear" w:color="auto" w:fill="FFFFFF"/>
        </w:rPr>
        <w:t xml:space="preserve">, </w:t>
      </w:r>
      <w:r w:rsidR="00967106">
        <w:rPr>
          <w:shd w:val="clear" w:color="auto" w:fill="FFFFFF"/>
        </w:rPr>
        <w:t>“</w:t>
      </w:r>
      <w:r w:rsidR="00E12E02" w:rsidRPr="000E14C1">
        <w:rPr>
          <w:shd w:val="clear" w:color="auto" w:fill="FFFFFF"/>
        </w:rPr>
        <w:t xml:space="preserve">provide </w:t>
      </w:r>
      <w:r w:rsidR="001542C4">
        <w:rPr>
          <w:shd w:val="clear" w:color="auto" w:fill="FFFFFF"/>
        </w:rPr>
        <w:t xml:space="preserve">[the FCC] </w:t>
      </w:r>
      <w:r w:rsidR="00E12E02" w:rsidRPr="000E14C1">
        <w:rPr>
          <w:shd w:val="clear" w:color="auto" w:fill="FFFFFF"/>
        </w:rPr>
        <w:t xml:space="preserve">a better understanding of the benefits, including cost savings, of connected care, and whether there are obstacles to connected care that could be addressed by the </w:t>
      </w:r>
      <w:r w:rsidR="00967106">
        <w:rPr>
          <w:shd w:val="clear" w:color="auto" w:fill="FFFFFF"/>
        </w:rPr>
        <w:t>Commission</w:t>
      </w:r>
      <w:r w:rsidR="00967106" w:rsidRPr="000E14C1">
        <w:rPr>
          <w:shd w:val="clear" w:color="auto" w:fill="FFFFFF"/>
        </w:rPr>
        <w:t xml:space="preserve">'s </w:t>
      </w:r>
      <w:r w:rsidR="00E12E02" w:rsidRPr="000E14C1">
        <w:rPr>
          <w:shd w:val="clear" w:color="auto" w:fill="FFFFFF"/>
        </w:rPr>
        <w:t>universal service programs</w:t>
      </w:r>
      <w:r w:rsidR="00967106">
        <w:rPr>
          <w:shd w:val="clear" w:color="auto" w:fill="FFFFFF"/>
        </w:rPr>
        <w:t>.”</w:t>
      </w:r>
      <w:r w:rsidR="001542C4">
        <w:rPr>
          <w:shd w:val="clear" w:color="auto" w:fill="FFFFFF"/>
        </w:rPr>
        <w:t xml:space="preserve">  </w:t>
      </w:r>
      <w:r w:rsidR="001542C4">
        <w:t>The FCC selected 107 projects serving patients in 40 states plus Washington, D.C, and requesting a total of approximately $98.2 million in funding</w:t>
      </w:r>
      <w:r w:rsidR="001542C4">
        <w:rPr>
          <w:rStyle w:val="FootnoteReference"/>
          <w:shd w:val="clear" w:color="auto" w:fill="FFFFFF"/>
        </w:rPr>
        <w:t xml:space="preserve"> </w:t>
      </w:r>
      <w:r w:rsidR="001542C4">
        <w:rPr>
          <w:shd w:val="clear" w:color="auto" w:fill="FFFFFF"/>
        </w:rPr>
        <w:t>.</w:t>
      </w:r>
      <w:r w:rsidR="00E12E02">
        <w:rPr>
          <w:rStyle w:val="FootnoteReference"/>
          <w:shd w:val="clear" w:color="auto" w:fill="FFFFFF"/>
        </w:rPr>
        <w:footnoteReference w:id="24"/>
      </w:r>
    </w:p>
    <w:p w14:paraId="2596C8B5" w14:textId="07D5CF4D" w:rsidR="0034091F" w:rsidRPr="00AE600B" w:rsidRDefault="0034091F" w:rsidP="00030585">
      <w:pPr>
        <w:pStyle w:val="Heading3"/>
      </w:pPr>
      <w:bookmarkStart w:id="25" w:name="_Toc114492056"/>
      <w:bookmarkStart w:id="26" w:name="_Toc115353759"/>
      <w:r w:rsidRPr="00AE600B">
        <w:t>The Emergency Broadband Benefit</w:t>
      </w:r>
      <w:r w:rsidR="006272A7">
        <w:t xml:space="preserve"> Program and the Affordable Connectivity Program</w:t>
      </w:r>
      <w:bookmarkEnd w:id="25"/>
      <w:bookmarkEnd w:id="26"/>
    </w:p>
    <w:p w14:paraId="043BDF57" w14:textId="725380B8" w:rsidR="00762F55" w:rsidRDefault="006272A7" w:rsidP="002C488D">
      <w:pPr>
        <w:pStyle w:val="NormalWeb"/>
        <w:spacing w:before="120" w:beforeAutospacing="0" w:after="120" w:afterAutospacing="0"/>
        <w:ind w:firstLine="720"/>
        <w:rPr>
          <w:sz w:val="22"/>
          <w:szCs w:val="22"/>
        </w:rPr>
      </w:pPr>
      <w:r w:rsidRPr="006F4216">
        <w:rPr>
          <w:sz w:val="22"/>
          <w:szCs w:val="22"/>
        </w:rPr>
        <w:t>After the start of the COVID-19 pandemic</w:t>
      </w:r>
      <w:r w:rsidR="00C731E3">
        <w:rPr>
          <w:sz w:val="22"/>
          <w:szCs w:val="22"/>
        </w:rPr>
        <w:t xml:space="preserve">, </w:t>
      </w:r>
      <w:r w:rsidR="003D1697">
        <w:rPr>
          <w:sz w:val="22"/>
          <w:szCs w:val="22"/>
        </w:rPr>
        <w:t xml:space="preserve">Congress responded by authorizing the </w:t>
      </w:r>
      <w:r w:rsidR="00E67CCC">
        <w:rPr>
          <w:sz w:val="22"/>
          <w:szCs w:val="22"/>
        </w:rPr>
        <w:t xml:space="preserve">FCC </w:t>
      </w:r>
      <w:r w:rsidR="003D1697">
        <w:rPr>
          <w:sz w:val="22"/>
          <w:szCs w:val="22"/>
        </w:rPr>
        <w:t xml:space="preserve">to </w:t>
      </w:r>
      <w:r w:rsidR="00E67CCC">
        <w:rPr>
          <w:sz w:val="22"/>
          <w:szCs w:val="22"/>
        </w:rPr>
        <w:t xml:space="preserve">establish </w:t>
      </w:r>
      <w:r>
        <w:rPr>
          <w:sz w:val="22"/>
          <w:szCs w:val="22"/>
        </w:rPr>
        <w:t xml:space="preserve">two </w:t>
      </w:r>
      <w:r w:rsidR="00BF3070">
        <w:rPr>
          <w:sz w:val="22"/>
          <w:szCs w:val="22"/>
        </w:rPr>
        <w:t xml:space="preserve">broadband subsidy programs that can aid </w:t>
      </w:r>
      <w:r>
        <w:rPr>
          <w:sz w:val="22"/>
          <w:szCs w:val="22"/>
        </w:rPr>
        <w:t xml:space="preserve">low-income consumers </w:t>
      </w:r>
      <w:r w:rsidR="00BF3070">
        <w:rPr>
          <w:sz w:val="22"/>
          <w:szCs w:val="22"/>
        </w:rPr>
        <w:t xml:space="preserve">in the purchase of broadband connectivity usable for telehealth </w:t>
      </w:r>
      <w:r>
        <w:rPr>
          <w:sz w:val="22"/>
          <w:szCs w:val="22"/>
        </w:rPr>
        <w:t>and other purposes</w:t>
      </w:r>
      <w:r w:rsidR="00BF3070">
        <w:rPr>
          <w:sz w:val="22"/>
          <w:szCs w:val="22"/>
        </w:rPr>
        <w:t>.</w:t>
      </w:r>
      <w:r w:rsidRPr="006272A7">
        <w:rPr>
          <w:rStyle w:val="FootnoteReference"/>
          <w:sz w:val="22"/>
          <w:szCs w:val="22"/>
        </w:rPr>
        <w:t xml:space="preserve"> </w:t>
      </w:r>
      <w:r w:rsidRPr="006F4216">
        <w:rPr>
          <w:rStyle w:val="FootnoteReference"/>
          <w:sz w:val="22"/>
          <w:szCs w:val="22"/>
        </w:rPr>
        <w:footnoteReference w:id="25"/>
      </w:r>
      <w:r w:rsidR="00BF3070">
        <w:rPr>
          <w:sz w:val="22"/>
          <w:szCs w:val="22"/>
        </w:rPr>
        <w:t xml:space="preserve">  </w:t>
      </w:r>
      <w:r w:rsidR="0034091F" w:rsidRPr="002C488D">
        <w:rPr>
          <w:sz w:val="22"/>
          <w:szCs w:val="22"/>
        </w:rPr>
        <w:t xml:space="preserve">The </w:t>
      </w:r>
      <w:r w:rsidR="00BF3070">
        <w:rPr>
          <w:sz w:val="22"/>
          <w:szCs w:val="22"/>
        </w:rPr>
        <w:t xml:space="preserve">first, </w:t>
      </w:r>
      <w:r>
        <w:rPr>
          <w:sz w:val="22"/>
          <w:szCs w:val="22"/>
        </w:rPr>
        <w:t xml:space="preserve">the </w:t>
      </w:r>
      <w:r w:rsidR="00BF3070">
        <w:rPr>
          <w:sz w:val="22"/>
          <w:szCs w:val="22"/>
        </w:rPr>
        <w:t xml:space="preserve">temporary </w:t>
      </w:r>
      <w:r w:rsidR="0034091F" w:rsidRPr="002C488D">
        <w:rPr>
          <w:sz w:val="22"/>
          <w:szCs w:val="22"/>
        </w:rPr>
        <w:t>Emergency Broadband Benefit</w:t>
      </w:r>
      <w:r w:rsidR="00B20844">
        <w:rPr>
          <w:sz w:val="22"/>
          <w:szCs w:val="22"/>
        </w:rPr>
        <w:t xml:space="preserve"> Program</w:t>
      </w:r>
      <w:r w:rsidR="0034091F" w:rsidRPr="002C488D">
        <w:rPr>
          <w:sz w:val="22"/>
          <w:szCs w:val="22"/>
        </w:rPr>
        <w:t xml:space="preserve"> </w:t>
      </w:r>
      <w:r w:rsidR="003B3852">
        <w:rPr>
          <w:sz w:val="22"/>
          <w:szCs w:val="22"/>
        </w:rPr>
        <w:t>(EBB</w:t>
      </w:r>
      <w:r>
        <w:rPr>
          <w:sz w:val="22"/>
          <w:szCs w:val="22"/>
        </w:rPr>
        <w:t xml:space="preserve"> Program</w:t>
      </w:r>
      <w:r w:rsidR="003B3852">
        <w:rPr>
          <w:sz w:val="22"/>
          <w:szCs w:val="22"/>
        </w:rPr>
        <w:t xml:space="preserve">) </w:t>
      </w:r>
      <w:r w:rsidR="0034091F" w:rsidRPr="002C488D">
        <w:rPr>
          <w:sz w:val="22"/>
          <w:szCs w:val="22"/>
        </w:rPr>
        <w:t>was a</w:t>
      </w:r>
      <w:r w:rsidR="00AE600B" w:rsidRPr="002C488D">
        <w:rPr>
          <w:sz w:val="22"/>
          <w:szCs w:val="22"/>
        </w:rPr>
        <w:t xml:space="preserve"> program</w:t>
      </w:r>
      <w:r w:rsidR="0034091F" w:rsidRPr="002C488D">
        <w:rPr>
          <w:sz w:val="22"/>
          <w:szCs w:val="22"/>
        </w:rPr>
        <w:t> help</w:t>
      </w:r>
      <w:r w:rsidR="00BF3070">
        <w:rPr>
          <w:sz w:val="22"/>
          <w:szCs w:val="22"/>
        </w:rPr>
        <w:t>ing</w:t>
      </w:r>
      <w:r w:rsidR="0034091F" w:rsidRPr="002C488D">
        <w:rPr>
          <w:sz w:val="22"/>
          <w:szCs w:val="22"/>
        </w:rPr>
        <w:t xml:space="preserve"> </w:t>
      </w:r>
      <w:r w:rsidR="00B20844" w:rsidRPr="006F4216">
        <w:rPr>
          <w:sz w:val="22"/>
          <w:szCs w:val="22"/>
        </w:rPr>
        <w:t xml:space="preserve">qualifying low-income </w:t>
      </w:r>
      <w:r w:rsidR="0034091F" w:rsidRPr="002C488D">
        <w:rPr>
          <w:sz w:val="22"/>
          <w:szCs w:val="22"/>
        </w:rPr>
        <w:t>households struggling to afford internet service during the COVID-19 pandemic.</w:t>
      </w:r>
      <w:r w:rsidR="00B20844" w:rsidRPr="00B20844">
        <w:rPr>
          <w:rStyle w:val="FootnoteReference"/>
          <w:sz w:val="22"/>
          <w:szCs w:val="22"/>
        </w:rPr>
        <w:t xml:space="preserve"> </w:t>
      </w:r>
      <w:r w:rsidR="00B20844" w:rsidRPr="006F4216">
        <w:rPr>
          <w:rStyle w:val="FootnoteReference"/>
          <w:sz w:val="22"/>
          <w:szCs w:val="22"/>
        </w:rPr>
        <w:footnoteReference w:id="26"/>
      </w:r>
      <w:r w:rsidR="0034091F" w:rsidRPr="002C488D">
        <w:rPr>
          <w:sz w:val="22"/>
          <w:szCs w:val="22"/>
        </w:rPr>
        <w:t xml:space="preserve">  The </w:t>
      </w:r>
      <w:r w:rsidR="00BB0221">
        <w:rPr>
          <w:sz w:val="22"/>
          <w:szCs w:val="22"/>
        </w:rPr>
        <w:t>EBB P</w:t>
      </w:r>
      <w:r w:rsidR="0034091F" w:rsidRPr="002C488D">
        <w:rPr>
          <w:sz w:val="22"/>
          <w:szCs w:val="22"/>
        </w:rPr>
        <w:t xml:space="preserve">rogram provided a discount of </w:t>
      </w:r>
      <w:r w:rsidR="0034091F" w:rsidRPr="00584F66">
        <w:rPr>
          <w:sz w:val="22"/>
          <w:szCs w:val="22"/>
        </w:rPr>
        <w:t>up to $50 per month towards broadband service for eligible households and up to $75 per month for households on qualifying Tribal lands.</w:t>
      </w:r>
      <w:r w:rsidR="00BB0221" w:rsidRPr="00BB0221">
        <w:rPr>
          <w:rStyle w:val="FootnoteReference"/>
          <w:sz w:val="22"/>
          <w:szCs w:val="22"/>
        </w:rPr>
        <w:t xml:space="preserve"> </w:t>
      </w:r>
      <w:r w:rsidR="00BB0221" w:rsidRPr="006F4216">
        <w:rPr>
          <w:rStyle w:val="FootnoteReference"/>
          <w:sz w:val="22"/>
          <w:szCs w:val="22"/>
        </w:rPr>
        <w:footnoteReference w:id="27"/>
      </w:r>
      <w:r w:rsidR="0034091F" w:rsidRPr="00584F66">
        <w:rPr>
          <w:sz w:val="22"/>
          <w:szCs w:val="22"/>
        </w:rPr>
        <w:t xml:space="preserve">  Eligible households could also receive a one-time discount of up to $100 to purchase a laptop, desktop computer, or tablet from participating providers if they contribute</w:t>
      </w:r>
      <w:r w:rsidR="003B3852">
        <w:rPr>
          <w:sz w:val="22"/>
          <w:szCs w:val="22"/>
        </w:rPr>
        <w:t xml:space="preserve">d </w:t>
      </w:r>
      <w:r w:rsidR="00BB0221" w:rsidRPr="006F4216">
        <w:rPr>
          <w:sz w:val="22"/>
          <w:szCs w:val="22"/>
        </w:rPr>
        <w:t xml:space="preserve">more than </w:t>
      </w:r>
      <w:r w:rsidR="0034091F" w:rsidRPr="00584F66">
        <w:rPr>
          <w:sz w:val="22"/>
          <w:szCs w:val="22"/>
        </w:rPr>
        <w:t xml:space="preserve">$10 </w:t>
      </w:r>
      <w:r w:rsidR="003E77AB" w:rsidRPr="006F4216">
        <w:rPr>
          <w:sz w:val="22"/>
          <w:szCs w:val="22"/>
        </w:rPr>
        <w:t xml:space="preserve">but not more than </w:t>
      </w:r>
      <w:r w:rsidR="0034091F" w:rsidRPr="00584F66">
        <w:rPr>
          <w:sz w:val="22"/>
          <w:szCs w:val="22"/>
        </w:rPr>
        <w:t>$</w:t>
      </w:r>
      <w:r w:rsidR="003E77AB">
        <w:rPr>
          <w:sz w:val="22"/>
          <w:szCs w:val="22"/>
        </w:rPr>
        <w:t>50</w:t>
      </w:r>
      <w:r w:rsidR="0034091F" w:rsidRPr="00584F66">
        <w:rPr>
          <w:sz w:val="22"/>
          <w:szCs w:val="22"/>
        </w:rPr>
        <w:t xml:space="preserve"> toward the purchase price.</w:t>
      </w:r>
      <w:r w:rsidR="003E77AB" w:rsidRPr="003E77AB">
        <w:rPr>
          <w:rStyle w:val="FootnoteReference"/>
          <w:sz w:val="22"/>
          <w:szCs w:val="22"/>
        </w:rPr>
        <w:t xml:space="preserve"> </w:t>
      </w:r>
      <w:r w:rsidR="003E77AB" w:rsidRPr="006F4216">
        <w:rPr>
          <w:rStyle w:val="FootnoteReference"/>
          <w:sz w:val="22"/>
          <w:szCs w:val="22"/>
        </w:rPr>
        <w:footnoteReference w:id="28"/>
      </w:r>
      <w:r w:rsidR="00AE600B" w:rsidRPr="00584F66">
        <w:rPr>
          <w:sz w:val="22"/>
          <w:szCs w:val="22"/>
        </w:rPr>
        <w:t xml:space="preserve">  </w:t>
      </w:r>
    </w:p>
    <w:p w14:paraId="2C8FB1AE" w14:textId="55D64186" w:rsidR="0034091F" w:rsidRPr="00541003" w:rsidRDefault="00AE600B" w:rsidP="00DF1FDC">
      <w:pPr>
        <w:pStyle w:val="NormalWeb"/>
        <w:spacing w:before="120" w:beforeAutospacing="0" w:after="120" w:afterAutospacing="0"/>
        <w:ind w:firstLine="720"/>
        <w:rPr>
          <w:sz w:val="22"/>
          <w:szCs w:val="22"/>
        </w:rPr>
      </w:pPr>
      <w:r w:rsidRPr="00541003">
        <w:rPr>
          <w:sz w:val="22"/>
          <w:szCs w:val="22"/>
        </w:rPr>
        <w:t xml:space="preserve">On December 31, </w:t>
      </w:r>
      <w:r w:rsidR="003B3852" w:rsidRPr="00541003">
        <w:rPr>
          <w:sz w:val="22"/>
          <w:szCs w:val="22"/>
        </w:rPr>
        <w:t>2021</w:t>
      </w:r>
      <w:r w:rsidR="004243D2" w:rsidRPr="00541003">
        <w:rPr>
          <w:sz w:val="22"/>
          <w:szCs w:val="22"/>
        </w:rPr>
        <w:t>,</w:t>
      </w:r>
      <w:r w:rsidR="003B3852" w:rsidRPr="00541003">
        <w:rPr>
          <w:sz w:val="22"/>
          <w:szCs w:val="22"/>
        </w:rPr>
        <w:t xml:space="preserve"> </w:t>
      </w:r>
      <w:r w:rsidRPr="00541003">
        <w:rPr>
          <w:sz w:val="22"/>
          <w:szCs w:val="22"/>
        </w:rPr>
        <w:t>the E</w:t>
      </w:r>
      <w:r w:rsidR="003B3852" w:rsidRPr="00541003">
        <w:rPr>
          <w:sz w:val="22"/>
          <w:szCs w:val="22"/>
        </w:rPr>
        <w:t>BB</w:t>
      </w:r>
      <w:r w:rsidRPr="00541003">
        <w:rPr>
          <w:sz w:val="22"/>
          <w:szCs w:val="22"/>
        </w:rPr>
        <w:t xml:space="preserve"> Program was replaced with the </w:t>
      </w:r>
      <w:r w:rsidR="00BF3070" w:rsidRPr="00541003">
        <w:rPr>
          <w:sz w:val="22"/>
          <w:szCs w:val="22"/>
        </w:rPr>
        <w:t>longer</w:t>
      </w:r>
      <w:r w:rsidR="00895442" w:rsidRPr="00541003">
        <w:rPr>
          <w:sz w:val="22"/>
          <w:szCs w:val="22"/>
        </w:rPr>
        <w:t>–</w:t>
      </w:r>
      <w:r w:rsidR="00BF3070" w:rsidRPr="00541003">
        <w:rPr>
          <w:sz w:val="22"/>
          <w:szCs w:val="22"/>
        </w:rPr>
        <w:t xml:space="preserve">term </w:t>
      </w:r>
      <w:r w:rsidRPr="00541003">
        <w:rPr>
          <w:sz w:val="22"/>
          <w:szCs w:val="22"/>
        </w:rPr>
        <w:t>Affordable Connectivity Program (ACP).</w:t>
      </w:r>
      <w:r w:rsidR="004243D2" w:rsidRPr="00541003">
        <w:rPr>
          <w:rStyle w:val="FootnoteReference"/>
          <w:sz w:val="22"/>
          <w:szCs w:val="22"/>
        </w:rPr>
        <w:t xml:space="preserve"> </w:t>
      </w:r>
      <w:r w:rsidR="004243D2" w:rsidRPr="00541003">
        <w:rPr>
          <w:rStyle w:val="FootnoteReference"/>
          <w:sz w:val="22"/>
          <w:szCs w:val="22"/>
        </w:rPr>
        <w:footnoteReference w:id="29"/>
      </w:r>
      <w:r w:rsidR="00762F55" w:rsidRPr="00541003">
        <w:rPr>
          <w:sz w:val="22"/>
          <w:szCs w:val="22"/>
        </w:rPr>
        <w:t xml:space="preserve">  </w:t>
      </w:r>
      <w:r w:rsidRPr="00541003">
        <w:rPr>
          <w:sz w:val="22"/>
          <w:szCs w:val="22"/>
        </w:rPr>
        <w:t xml:space="preserve">The ACP is </w:t>
      </w:r>
      <w:r w:rsidR="005A6249" w:rsidRPr="00541003">
        <w:rPr>
          <w:sz w:val="22"/>
          <w:szCs w:val="22"/>
        </w:rPr>
        <w:t xml:space="preserve">a </w:t>
      </w:r>
      <w:r w:rsidRPr="00541003">
        <w:rPr>
          <w:sz w:val="22"/>
          <w:szCs w:val="22"/>
        </w:rPr>
        <w:t>$14</w:t>
      </w:r>
      <w:r w:rsidR="004243D2" w:rsidRPr="00541003">
        <w:rPr>
          <w:sz w:val="22"/>
          <w:szCs w:val="22"/>
        </w:rPr>
        <w:t>.2</w:t>
      </w:r>
      <w:r w:rsidRPr="00541003">
        <w:rPr>
          <w:sz w:val="22"/>
          <w:szCs w:val="22"/>
        </w:rPr>
        <w:t xml:space="preserve"> billion program</w:t>
      </w:r>
      <w:r w:rsidR="00FC0857" w:rsidRPr="00541003">
        <w:rPr>
          <w:sz w:val="22"/>
          <w:szCs w:val="22"/>
        </w:rPr>
        <w:t xml:space="preserve"> </w:t>
      </w:r>
      <w:r w:rsidR="003D1697" w:rsidRPr="00541003">
        <w:rPr>
          <w:sz w:val="22"/>
          <w:szCs w:val="22"/>
        </w:rPr>
        <w:t>establish</w:t>
      </w:r>
      <w:r w:rsidR="00FC0857" w:rsidRPr="00541003">
        <w:rPr>
          <w:sz w:val="22"/>
          <w:szCs w:val="22"/>
        </w:rPr>
        <w:t>ed by Congress</w:t>
      </w:r>
      <w:r w:rsidRPr="00541003">
        <w:rPr>
          <w:sz w:val="22"/>
          <w:szCs w:val="22"/>
        </w:rPr>
        <w:t xml:space="preserve"> to help </w:t>
      </w:r>
      <w:r w:rsidRPr="00541003">
        <w:rPr>
          <w:sz w:val="22"/>
          <w:szCs w:val="22"/>
        </w:rPr>
        <w:lastRenderedPageBreak/>
        <w:t xml:space="preserve">ensure </w:t>
      </w:r>
      <w:r w:rsidR="00FC0857" w:rsidRPr="00541003">
        <w:rPr>
          <w:sz w:val="22"/>
          <w:szCs w:val="22"/>
        </w:rPr>
        <w:t xml:space="preserve">that </w:t>
      </w:r>
      <w:r w:rsidR="004243D2" w:rsidRPr="00541003">
        <w:rPr>
          <w:sz w:val="22"/>
          <w:szCs w:val="22"/>
        </w:rPr>
        <w:t xml:space="preserve">qualifying low-income </w:t>
      </w:r>
      <w:r w:rsidR="00FC0857" w:rsidRPr="00541003">
        <w:rPr>
          <w:sz w:val="22"/>
          <w:szCs w:val="22"/>
        </w:rPr>
        <w:t xml:space="preserve">American consumers </w:t>
      </w:r>
      <w:r w:rsidRPr="00541003">
        <w:rPr>
          <w:sz w:val="22"/>
          <w:szCs w:val="22"/>
        </w:rPr>
        <w:t>c</w:t>
      </w:r>
      <w:r w:rsidR="003B3852" w:rsidRPr="00541003">
        <w:rPr>
          <w:sz w:val="22"/>
          <w:szCs w:val="22"/>
        </w:rPr>
        <w:t>an</w:t>
      </w:r>
      <w:r w:rsidRPr="00541003">
        <w:rPr>
          <w:sz w:val="22"/>
          <w:szCs w:val="22"/>
        </w:rPr>
        <w:t xml:space="preserve"> afford the </w:t>
      </w:r>
      <w:r w:rsidR="00FC0857" w:rsidRPr="00541003">
        <w:rPr>
          <w:sz w:val="22"/>
          <w:szCs w:val="22"/>
        </w:rPr>
        <w:t xml:space="preserve">internet </w:t>
      </w:r>
      <w:r w:rsidRPr="00541003">
        <w:rPr>
          <w:sz w:val="22"/>
          <w:szCs w:val="22"/>
        </w:rPr>
        <w:t xml:space="preserve">connections </w:t>
      </w:r>
      <w:r w:rsidR="00FC0857" w:rsidRPr="00541003">
        <w:rPr>
          <w:sz w:val="22"/>
          <w:szCs w:val="22"/>
        </w:rPr>
        <w:t>needed</w:t>
      </w:r>
      <w:r w:rsidRPr="00541003">
        <w:rPr>
          <w:sz w:val="22"/>
          <w:szCs w:val="22"/>
        </w:rPr>
        <w:t xml:space="preserve"> for work, school, </w:t>
      </w:r>
      <w:r w:rsidR="00FC0857" w:rsidRPr="00541003">
        <w:rPr>
          <w:sz w:val="22"/>
          <w:szCs w:val="22"/>
        </w:rPr>
        <w:t xml:space="preserve">and </w:t>
      </w:r>
      <w:r w:rsidRPr="00541003">
        <w:rPr>
          <w:sz w:val="22"/>
          <w:szCs w:val="22"/>
        </w:rPr>
        <w:t>healthcare</w:t>
      </w:r>
      <w:r w:rsidR="00FC0857" w:rsidRPr="00541003">
        <w:rPr>
          <w:sz w:val="22"/>
          <w:szCs w:val="22"/>
        </w:rPr>
        <w:t>, among other things.</w:t>
      </w:r>
      <w:r w:rsidR="004243D2" w:rsidRPr="00541003">
        <w:rPr>
          <w:rStyle w:val="FootnoteReference"/>
          <w:sz w:val="22"/>
          <w:szCs w:val="22"/>
        </w:rPr>
        <w:t xml:space="preserve"> </w:t>
      </w:r>
      <w:r w:rsidR="004243D2" w:rsidRPr="00541003">
        <w:rPr>
          <w:rStyle w:val="FootnoteReference"/>
          <w:sz w:val="22"/>
          <w:szCs w:val="22"/>
        </w:rPr>
        <w:footnoteReference w:id="30"/>
      </w:r>
      <w:r w:rsidR="00FC0857" w:rsidRPr="00541003">
        <w:rPr>
          <w:sz w:val="22"/>
          <w:szCs w:val="22"/>
        </w:rPr>
        <w:t xml:space="preserve">  The maximum monthly benefit for the ACP is $30 per month for households not</w:t>
      </w:r>
      <w:r w:rsidR="003D1697" w:rsidRPr="00541003">
        <w:rPr>
          <w:sz w:val="22"/>
          <w:szCs w:val="22"/>
        </w:rPr>
        <w:t xml:space="preserve"> </w:t>
      </w:r>
      <w:r w:rsidR="00FC0857" w:rsidRPr="00541003">
        <w:rPr>
          <w:sz w:val="22"/>
          <w:szCs w:val="22"/>
        </w:rPr>
        <w:t>located on qualifying Tribal lands and $75 per month for households on qualifying Tribal lands.</w:t>
      </w:r>
      <w:r w:rsidR="00405155" w:rsidRPr="00541003">
        <w:rPr>
          <w:rStyle w:val="FootnoteReference"/>
          <w:sz w:val="22"/>
          <w:szCs w:val="22"/>
        </w:rPr>
        <w:t xml:space="preserve"> </w:t>
      </w:r>
      <w:r w:rsidR="00405155" w:rsidRPr="00541003">
        <w:rPr>
          <w:rStyle w:val="FootnoteReference"/>
          <w:sz w:val="22"/>
          <w:szCs w:val="22"/>
        </w:rPr>
        <w:footnoteReference w:id="31"/>
      </w:r>
      <w:r w:rsidR="00FC0857" w:rsidRPr="00584F66">
        <w:t xml:space="preserve">  </w:t>
      </w:r>
      <w:r w:rsidR="00405155" w:rsidRPr="00075FC9">
        <w:rPr>
          <w:sz w:val="22"/>
          <w:szCs w:val="22"/>
        </w:rPr>
        <w:t>Participating households can also receive a one-time device benefit (for a laptop, desktop, or tablet) of up to $100, subject to a co-pay requirement of more than $10</w:t>
      </w:r>
      <w:r w:rsidR="003D1697">
        <w:rPr>
          <w:sz w:val="22"/>
          <w:szCs w:val="22"/>
        </w:rPr>
        <w:t>,</w:t>
      </w:r>
      <w:r w:rsidR="00405155" w:rsidRPr="00075FC9">
        <w:rPr>
          <w:sz w:val="22"/>
          <w:szCs w:val="22"/>
        </w:rPr>
        <w:t xml:space="preserve"> but not more than $50.</w:t>
      </w:r>
      <w:r w:rsidR="00405155" w:rsidRPr="00075FC9">
        <w:rPr>
          <w:rStyle w:val="FootnoteReference"/>
          <w:sz w:val="22"/>
          <w:szCs w:val="22"/>
        </w:rPr>
        <w:footnoteReference w:id="32"/>
      </w:r>
      <w:r w:rsidR="00405155" w:rsidRPr="00075FC9">
        <w:rPr>
          <w:sz w:val="22"/>
          <w:szCs w:val="22"/>
        </w:rPr>
        <w:t xml:space="preserve">  </w:t>
      </w:r>
      <w:r w:rsidR="00FC0857" w:rsidRPr="00541003">
        <w:rPr>
          <w:sz w:val="22"/>
          <w:szCs w:val="22"/>
        </w:rPr>
        <w:t xml:space="preserve">Households may qualify for the ACP if they </w:t>
      </w:r>
      <w:r w:rsidR="00405155" w:rsidRPr="00541003">
        <w:rPr>
          <w:sz w:val="22"/>
          <w:szCs w:val="22"/>
        </w:rPr>
        <w:t xml:space="preserve">participate in Lifeline or the Lifeline qualifying programs, including Medicaid; Supplemental Nutrition Assistance Program (SNAP); Supplemental Security Income (SSI); Federal Housing Assistance, (i.e., Housing Choice Voucher (HCV) Program (Section 8 Vouchers), Project-Based Rental Assistance Program (PBRA)/202/811, Public Housing); Veterans Pension and Survivors Benefit; and, for households on qualifying Tribal lands, Bureau of Indian Affairs General Assistance, Tribally administered Temporary Assistance for Needy Families (Tribal TANF), Food Distribution Program on Indian Reservations, Tribal Head Start (only those households meeting the incoming qualifying standard), and Affordable Housing Programs for American Indians, Alaska Natives, or Native Hawaiians.  Households may also qualify for the ACP if they </w:t>
      </w:r>
      <w:r w:rsidR="007C5EE1" w:rsidRPr="00541003">
        <w:rPr>
          <w:sz w:val="22"/>
          <w:szCs w:val="22"/>
        </w:rPr>
        <w:t xml:space="preserve">have an income at or below 200% of the Federal Poverty Guidelines or if a household member participates in the Special Supplemental Nutritional Program for Woman, Infants, and Children (WIC), has received a Federal Pell Grant during the current award year, </w:t>
      </w:r>
      <w:r w:rsidR="00FC0857" w:rsidRPr="00541003">
        <w:rPr>
          <w:sz w:val="22"/>
          <w:szCs w:val="22"/>
        </w:rPr>
        <w:t>or</w:t>
      </w:r>
      <w:r w:rsidR="007C5EE1" w:rsidRPr="00541003">
        <w:rPr>
          <w:sz w:val="22"/>
          <w:szCs w:val="22"/>
        </w:rPr>
        <w:t xml:space="preserve"> is approved to participate in the National School Lunch or Breakfast Program (including Community Eligibility Provision schools), or meets the eligibility criteria for a participating provider’s existing low-income internet program.</w:t>
      </w:r>
      <w:r w:rsidR="007C5EE1" w:rsidRPr="00541003">
        <w:rPr>
          <w:rStyle w:val="FootnoteReference"/>
          <w:sz w:val="22"/>
          <w:szCs w:val="22"/>
        </w:rPr>
        <w:footnoteReference w:id="33"/>
      </w:r>
      <w:r w:rsidR="00FC0857" w:rsidRPr="00541003">
        <w:rPr>
          <w:sz w:val="22"/>
          <w:szCs w:val="22"/>
        </w:rPr>
        <w:t xml:space="preserve">  </w:t>
      </w:r>
      <w:r w:rsidR="00584F66" w:rsidRPr="00541003">
        <w:rPr>
          <w:sz w:val="22"/>
          <w:szCs w:val="22"/>
        </w:rPr>
        <w:t>Some h</w:t>
      </w:r>
      <w:r w:rsidR="00FC0857" w:rsidRPr="00541003">
        <w:rPr>
          <w:sz w:val="22"/>
          <w:szCs w:val="22"/>
        </w:rPr>
        <w:t>ouseholds that qualified for the E</w:t>
      </w:r>
      <w:r w:rsidR="00904FF1" w:rsidRPr="00541003">
        <w:rPr>
          <w:sz w:val="22"/>
          <w:szCs w:val="22"/>
        </w:rPr>
        <w:t>BB</w:t>
      </w:r>
      <w:r w:rsidR="007C5EE1" w:rsidRPr="00541003">
        <w:rPr>
          <w:sz w:val="22"/>
          <w:szCs w:val="22"/>
        </w:rPr>
        <w:t xml:space="preserve"> Program</w:t>
      </w:r>
      <w:r w:rsidR="00341D1E" w:rsidRPr="00541003">
        <w:rPr>
          <w:sz w:val="22"/>
          <w:szCs w:val="22"/>
        </w:rPr>
        <w:t xml:space="preserve"> needed to</w:t>
      </w:r>
      <w:r w:rsidR="00FC0857" w:rsidRPr="00541003">
        <w:rPr>
          <w:sz w:val="22"/>
          <w:szCs w:val="22"/>
        </w:rPr>
        <w:t xml:space="preserve"> requalify for </w:t>
      </w:r>
      <w:r w:rsidR="007C5EE1" w:rsidRPr="00541003">
        <w:rPr>
          <w:sz w:val="22"/>
          <w:szCs w:val="22"/>
        </w:rPr>
        <w:t xml:space="preserve">the </w:t>
      </w:r>
      <w:r w:rsidR="00584F66" w:rsidRPr="00541003">
        <w:rPr>
          <w:sz w:val="22"/>
          <w:szCs w:val="22"/>
        </w:rPr>
        <w:t>ACP</w:t>
      </w:r>
      <w:r w:rsidR="007C5EE1" w:rsidRPr="00541003">
        <w:rPr>
          <w:sz w:val="22"/>
          <w:szCs w:val="22"/>
        </w:rPr>
        <w:t xml:space="preserve"> because they qualified under eligibility criteria that were no longer applicable for the ACP, </w:t>
      </w:r>
      <w:r w:rsidR="00584F66" w:rsidRPr="00541003">
        <w:rPr>
          <w:sz w:val="22"/>
          <w:szCs w:val="22"/>
        </w:rPr>
        <w:t>but</w:t>
      </w:r>
      <w:r w:rsidR="00FC0857" w:rsidRPr="00541003">
        <w:rPr>
          <w:sz w:val="22"/>
          <w:szCs w:val="22"/>
        </w:rPr>
        <w:t xml:space="preserve"> </w:t>
      </w:r>
      <w:r w:rsidR="00584F66" w:rsidRPr="00541003">
        <w:rPr>
          <w:sz w:val="22"/>
          <w:szCs w:val="22"/>
        </w:rPr>
        <w:t xml:space="preserve">most </w:t>
      </w:r>
      <w:r w:rsidR="007C5EE1" w:rsidRPr="00541003">
        <w:rPr>
          <w:sz w:val="22"/>
          <w:szCs w:val="22"/>
        </w:rPr>
        <w:t xml:space="preserve">households participating in the </w:t>
      </w:r>
      <w:r w:rsidR="00584F66" w:rsidRPr="00541003">
        <w:rPr>
          <w:sz w:val="22"/>
          <w:szCs w:val="22"/>
        </w:rPr>
        <w:t>E</w:t>
      </w:r>
      <w:r w:rsidR="00904FF1" w:rsidRPr="00541003">
        <w:rPr>
          <w:sz w:val="22"/>
          <w:szCs w:val="22"/>
        </w:rPr>
        <w:t>BB</w:t>
      </w:r>
      <w:r w:rsidR="007C5EE1" w:rsidRPr="00541003">
        <w:rPr>
          <w:sz w:val="22"/>
          <w:szCs w:val="22"/>
        </w:rPr>
        <w:t xml:space="preserve"> Program</w:t>
      </w:r>
      <w:r w:rsidR="00584F66" w:rsidRPr="00541003">
        <w:rPr>
          <w:sz w:val="22"/>
          <w:szCs w:val="22"/>
        </w:rPr>
        <w:t xml:space="preserve"> </w:t>
      </w:r>
      <w:r w:rsidR="00341D1E" w:rsidRPr="00541003">
        <w:rPr>
          <w:sz w:val="22"/>
          <w:szCs w:val="22"/>
        </w:rPr>
        <w:t>did</w:t>
      </w:r>
      <w:r w:rsidR="00584F66" w:rsidRPr="00541003">
        <w:rPr>
          <w:sz w:val="22"/>
          <w:szCs w:val="22"/>
        </w:rPr>
        <w:t xml:space="preserve"> not need to take any action to </w:t>
      </w:r>
      <w:r w:rsidR="007C5EE1" w:rsidRPr="00541003">
        <w:rPr>
          <w:sz w:val="22"/>
          <w:szCs w:val="22"/>
        </w:rPr>
        <w:t xml:space="preserve">participate in </w:t>
      </w:r>
      <w:r w:rsidR="003D1697" w:rsidRPr="00541003">
        <w:rPr>
          <w:sz w:val="22"/>
          <w:szCs w:val="22"/>
        </w:rPr>
        <w:t xml:space="preserve">the </w:t>
      </w:r>
      <w:r w:rsidR="00762F55" w:rsidRPr="00541003">
        <w:rPr>
          <w:sz w:val="22"/>
          <w:szCs w:val="22"/>
        </w:rPr>
        <w:t>ACP</w:t>
      </w:r>
      <w:r w:rsidR="00584F66" w:rsidRPr="00541003">
        <w:rPr>
          <w:sz w:val="22"/>
          <w:szCs w:val="22"/>
        </w:rPr>
        <w:t>.</w:t>
      </w:r>
    </w:p>
    <w:p w14:paraId="41B092B5" w14:textId="32B14BD0" w:rsidR="00A36D6F" w:rsidRPr="005204AC" w:rsidRDefault="00926CAE" w:rsidP="00030585">
      <w:pPr>
        <w:pStyle w:val="Heading2"/>
      </w:pPr>
      <w:bookmarkStart w:id="28" w:name="_Toc114492057"/>
      <w:bookmarkStart w:id="29" w:name="_Toc115353760"/>
      <w:r w:rsidRPr="005204AC">
        <w:t>Mapping Broadband Health in America</w:t>
      </w:r>
      <w:bookmarkEnd w:id="28"/>
      <w:bookmarkEnd w:id="29"/>
    </w:p>
    <w:p w14:paraId="7308111B" w14:textId="5ABF9C11" w:rsidR="00A656D5" w:rsidRPr="00C33D09" w:rsidRDefault="005E791B" w:rsidP="00C33D09">
      <w:pPr>
        <w:pStyle w:val="NormalWeb"/>
        <w:spacing w:before="120" w:beforeAutospacing="0" w:after="120" w:afterAutospacing="0"/>
        <w:ind w:firstLine="720"/>
      </w:pPr>
      <w:r>
        <w:rPr>
          <w:sz w:val="22"/>
          <w:szCs w:val="22"/>
        </w:rPr>
        <w:t>The FCC has recognized that a</w:t>
      </w:r>
      <w:r w:rsidR="00A36D6F" w:rsidRPr="00E12266">
        <w:rPr>
          <w:sz w:val="22"/>
          <w:szCs w:val="22"/>
        </w:rPr>
        <w:t xml:space="preserve">s telehealth and telemedicine gain momentum across the country, </w:t>
      </w:r>
      <w:r w:rsidR="00902FB0" w:rsidRPr="00E12266">
        <w:rPr>
          <w:spacing w:val="1"/>
          <w:sz w:val="22"/>
          <w:szCs w:val="22"/>
        </w:rPr>
        <w:t xml:space="preserve">the lack of access to adequate broadband </w:t>
      </w:r>
      <w:r w:rsidR="00926CAE" w:rsidRPr="00E12266">
        <w:rPr>
          <w:spacing w:val="1"/>
          <w:sz w:val="22"/>
          <w:szCs w:val="22"/>
        </w:rPr>
        <w:t xml:space="preserve">can </w:t>
      </w:r>
      <w:r w:rsidR="00902FB0" w:rsidRPr="00E12266">
        <w:rPr>
          <w:spacing w:val="1"/>
          <w:sz w:val="22"/>
          <w:szCs w:val="22"/>
        </w:rPr>
        <w:t>limit the deployment of telehealth</w:t>
      </w:r>
      <w:r w:rsidR="00E12266" w:rsidRPr="00E12266">
        <w:rPr>
          <w:spacing w:val="1"/>
          <w:sz w:val="22"/>
          <w:szCs w:val="22"/>
        </w:rPr>
        <w:t xml:space="preserve"> and </w:t>
      </w:r>
      <w:r w:rsidR="006716A4">
        <w:rPr>
          <w:spacing w:val="1"/>
          <w:sz w:val="22"/>
          <w:szCs w:val="22"/>
        </w:rPr>
        <w:t xml:space="preserve">that </w:t>
      </w:r>
      <w:r w:rsidR="00C72EB9" w:rsidRPr="00E12266">
        <w:rPr>
          <w:spacing w:val="1"/>
          <w:sz w:val="22"/>
          <w:szCs w:val="22"/>
        </w:rPr>
        <w:t xml:space="preserve">connectivity itself can present a barrier to the </w:t>
      </w:r>
      <w:r w:rsidR="00DA78CD" w:rsidRPr="00E12266">
        <w:rPr>
          <w:spacing w:val="1"/>
          <w:sz w:val="22"/>
          <w:szCs w:val="22"/>
        </w:rPr>
        <w:t xml:space="preserve">effective </w:t>
      </w:r>
      <w:r w:rsidR="00C72EB9" w:rsidRPr="00E12266">
        <w:rPr>
          <w:spacing w:val="1"/>
          <w:sz w:val="22"/>
          <w:szCs w:val="22"/>
        </w:rPr>
        <w:t>utilization of telehealth services</w:t>
      </w:r>
      <w:r w:rsidR="00DA78CD" w:rsidRPr="00E12266">
        <w:rPr>
          <w:spacing w:val="1"/>
          <w:sz w:val="22"/>
          <w:szCs w:val="22"/>
        </w:rPr>
        <w:t xml:space="preserve">.  </w:t>
      </w:r>
      <w:r w:rsidR="00C72EB9" w:rsidRPr="00E12266">
        <w:rPr>
          <w:sz w:val="22"/>
          <w:szCs w:val="22"/>
        </w:rPr>
        <w:t xml:space="preserve">“For rural America, broadband connectivity can serve as a </w:t>
      </w:r>
      <w:r w:rsidR="00D80993">
        <w:rPr>
          <w:sz w:val="22"/>
          <w:szCs w:val="22"/>
        </w:rPr>
        <w:t xml:space="preserve">vital </w:t>
      </w:r>
      <w:r w:rsidR="00C72EB9" w:rsidRPr="00E12266">
        <w:rPr>
          <w:sz w:val="22"/>
          <w:szCs w:val="22"/>
        </w:rPr>
        <w:t xml:space="preserve">gateway to a number of services, including health care. </w:t>
      </w:r>
      <w:r w:rsidR="00762F55">
        <w:rPr>
          <w:sz w:val="22"/>
          <w:szCs w:val="22"/>
        </w:rPr>
        <w:t xml:space="preserve"> </w:t>
      </w:r>
      <w:r w:rsidR="00C72EB9" w:rsidRPr="00E12266">
        <w:rPr>
          <w:sz w:val="22"/>
          <w:szCs w:val="22"/>
        </w:rPr>
        <w:t>The ability to connect consumers to health care services through broadband is particularly important in areas where chronic disease prevalence is high and physician access is low</w:t>
      </w:r>
      <w:r w:rsidR="00A4645B" w:rsidRPr="00E12266">
        <w:rPr>
          <w:sz w:val="22"/>
          <w:szCs w:val="22"/>
        </w:rPr>
        <w:t>.</w:t>
      </w:r>
      <w:r w:rsidR="002B1D19">
        <w:rPr>
          <w:sz w:val="22"/>
          <w:szCs w:val="22"/>
        </w:rPr>
        <w:t>”</w:t>
      </w:r>
      <w:r w:rsidR="00A4645B" w:rsidRPr="00E12266">
        <w:rPr>
          <w:rStyle w:val="FootnoteReference"/>
          <w:sz w:val="22"/>
          <w:szCs w:val="22"/>
        </w:rPr>
        <w:footnoteReference w:id="34"/>
      </w:r>
      <w:r w:rsidR="00926CAE" w:rsidRPr="00E12266">
        <w:rPr>
          <w:sz w:val="22"/>
          <w:szCs w:val="22"/>
        </w:rPr>
        <w:t xml:space="preserve">  </w:t>
      </w:r>
      <w:r w:rsidR="00884318">
        <w:rPr>
          <w:sz w:val="22"/>
          <w:szCs w:val="22"/>
        </w:rPr>
        <w:t xml:space="preserve">The Commission has also recognized that </w:t>
      </w:r>
      <w:r w:rsidR="00884318">
        <w:rPr>
          <w:spacing w:val="1"/>
          <w:sz w:val="22"/>
          <w:szCs w:val="22"/>
        </w:rPr>
        <w:t>a</w:t>
      </w:r>
      <w:r w:rsidR="00902FB0" w:rsidRPr="00E12266">
        <w:rPr>
          <w:sz w:val="22"/>
          <w:szCs w:val="22"/>
        </w:rPr>
        <w:t xml:space="preserve">ccurate broadband maps can be used by both public and private sectors, </w:t>
      </w:r>
      <w:r w:rsidR="006716A4">
        <w:rPr>
          <w:sz w:val="22"/>
          <w:szCs w:val="22"/>
        </w:rPr>
        <w:t>as well as</w:t>
      </w:r>
      <w:r w:rsidR="00902FB0" w:rsidRPr="00E12266">
        <w:rPr>
          <w:sz w:val="22"/>
          <w:szCs w:val="22"/>
        </w:rPr>
        <w:t xml:space="preserve"> local communities, to identify opportunities and gaps in connectivity and care.  </w:t>
      </w:r>
      <w:r w:rsidR="00A22EF3" w:rsidRPr="00A22EF3">
        <w:rPr>
          <w:sz w:val="22"/>
          <w:szCs w:val="22"/>
        </w:rPr>
        <w:t xml:space="preserve"> </w:t>
      </w:r>
      <w:r w:rsidR="00A22EF3">
        <w:rPr>
          <w:sz w:val="22"/>
          <w:szCs w:val="22"/>
        </w:rPr>
        <w:t xml:space="preserve">The availability of more </w:t>
      </w:r>
      <w:r w:rsidR="00A22EF3" w:rsidRPr="00E12266">
        <w:rPr>
          <w:sz w:val="22"/>
          <w:szCs w:val="22"/>
        </w:rPr>
        <w:t xml:space="preserve">accurate </w:t>
      </w:r>
      <w:r w:rsidR="00A22EF3">
        <w:rPr>
          <w:sz w:val="22"/>
          <w:szCs w:val="22"/>
        </w:rPr>
        <w:t xml:space="preserve">and granular </w:t>
      </w:r>
      <w:r w:rsidR="00A22EF3" w:rsidRPr="00E12266">
        <w:rPr>
          <w:sz w:val="22"/>
          <w:szCs w:val="22"/>
        </w:rPr>
        <w:t xml:space="preserve">broadband </w:t>
      </w:r>
      <w:r w:rsidR="00A22EF3">
        <w:rPr>
          <w:sz w:val="22"/>
          <w:szCs w:val="22"/>
        </w:rPr>
        <w:t xml:space="preserve">data, once incorporated into the Connect2Health Task Force’s </w:t>
      </w:r>
      <w:r w:rsidR="00A22EF3" w:rsidRPr="005A6FFB">
        <w:rPr>
          <w:i/>
          <w:iCs/>
          <w:sz w:val="22"/>
          <w:szCs w:val="22"/>
        </w:rPr>
        <w:t>Mapping Broadband Health in America</w:t>
      </w:r>
      <w:r w:rsidR="00A22EF3">
        <w:rPr>
          <w:sz w:val="22"/>
          <w:szCs w:val="22"/>
        </w:rPr>
        <w:t xml:space="preserve"> platform, </w:t>
      </w:r>
      <w:r w:rsidR="00A22EF3" w:rsidRPr="00E12266">
        <w:rPr>
          <w:sz w:val="22"/>
          <w:szCs w:val="22"/>
        </w:rPr>
        <w:t xml:space="preserve">can </w:t>
      </w:r>
      <w:r w:rsidR="00A22EF3">
        <w:rPr>
          <w:sz w:val="22"/>
          <w:szCs w:val="22"/>
        </w:rPr>
        <w:t xml:space="preserve">serve </w:t>
      </w:r>
      <w:r w:rsidR="00A22EF3" w:rsidRPr="00E12266">
        <w:rPr>
          <w:sz w:val="22"/>
          <w:szCs w:val="22"/>
        </w:rPr>
        <w:t xml:space="preserve">to </w:t>
      </w:r>
      <w:r w:rsidR="00F53BB5">
        <w:rPr>
          <w:sz w:val="22"/>
          <w:szCs w:val="22"/>
        </w:rPr>
        <w:t>identify priority areas more accurately</w:t>
      </w:r>
      <w:r w:rsidR="00A22EF3">
        <w:rPr>
          <w:sz w:val="22"/>
          <w:szCs w:val="22"/>
        </w:rPr>
        <w:t xml:space="preserve"> for policymakers and innovators.  These are areas w</w:t>
      </w:r>
      <w:r w:rsidR="00A22EF3" w:rsidRPr="00E12266">
        <w:rPr>
          <w:sz w:val="22"/>
          <w:szCs w:val="22"/>
        </w:rPr>
        <w:t>here there</w:t>
      </w:r>
      <w:r w:rsidR="00A22EF3">
        <w:rPr>
          <w:sz w:val="22"/>
          <w:szCs w:val="22"/>
        </w:rPr>
        <w:t xml:space="preserve"> are </w:t>
      </w:r>
      <w:r w:rsidR="000818D2">
        <w:rPr>
          <w:sz w:val="22"/>
          <w:szCs w:val="22"/>
        </w:rPr>
        <w:t xml:space="preserve">both </w:t>
      </w:r>
      <w:r w:rsidR="00A22EF3" w:rsidRPr="00010A63">
        <w:rPr>
          <w:sz w:val="22"/>
          <w:szCs w:val="22"/>
        </w:rPr>
        <w:t>connectivity</w:t>
      </w:r>
      <w:r w:rsidR="00A22EF3">
        <w:rPr>
          <w:sz w:val="22"/>
          <w:szCs w:val="22"/>
        </w:rPr>
        <w:t xml:space="preserve"> issues and significant health needs (</w:t>
      </w:r>
      <w:r w:rsidR="00A22EF3" w:rsidRPr="005A6FFB">
        <w:rPr>
          <w:i/>
          <w:iCs/>
          <w:sz w:val="22"/>
          <w:szCs w:val="22"/>
        </w:rPr>
        <w:t>e.g.</w:t>
      </w:r>
      <w:r w:rsidR="00A22EF3">
        <w:rPr>
          <w:sz w:val="22"/>
          <w:szCs w:val="22"/>
        </w:rPr>
        <w:t>, high chronic diseases rates, low physician access, etc.) and where the availability of telehealth services and solutions may be critically needed</w:t>
      </w:r>
      <w:r w:rsidR="00A22EF3" w:rsidRPr="00010A63">
        <w:rPr>
          <w:sz w:val="22"/>
          <w:szCs w:val="22"/>
        </w:rPr>
        <w:t>.</w:t>
      </w:r>
    </w:p>
    <w:p w14:paraId="5BBBBC2B" w14:textId="2B0920AF" w:rsidR="00A36D6F" w:rsidRPr="00010A63" w:rsidRDefault="00C33D09" w:rsidP="009E6A5A">
      <w:pPr>
        <w:pStyle w:val="NormalWeb"/>
        <w:spacing w:before="120" w:beforeAutospacing="0" w:after="120" w:afterAutospacing="0"/>
        <w:ind w:firstLine="720"/>
        <w:rPr>
          <w:sz w:val="22"/>
          <w:szCs w:val="22"/>
        </w:rPr>
      </w:pPr>
      <w:r w:rsidRPr="00030585">
        <w:rPr>
          <w:sz w:val="22"/>
          <w:szCs w:val="22"/>
          <w:u w:val="single"/>
        </w:rPr>
        <w:lastRenderedPageBreak/>
        <w:t>Connect2Health</w:t>
      </w:r>
      <w:r>
        <w:rPr>
          <w:sz w:val="22"/>
          <w:szCs w:val="22"/>
        </w:rPr>
        <w:t xml:space="preserve">.  </w:t>
      </w:r>
      <w:r w:rsidR="00A4645B" w:rsidRPr="00010A63">
        <w:rPr>
          <w:sz w:val="22"/>
          <w:szCs w:val="22"/>
        </w:rPr>
        <w:t>The</w:t>
      </w:r>
      <w:r w:rsidR="00902FB0" w:rsidRPr="00010A63">
        <w:rPr>
          <w:sz w:val="22"/>
          <w:szCs w:val="22"/>
        </w:rPr>
        <w:t xml:space="preserve"> </w:t>
      </w:r>
      <w:r w:rsidR="00010A63">
        <w:rPr>
          <w:sz w:val="22"/>
          <w:szCs w:val="22"/>
        </w:rPr>
        <w:t xml:space="preserve">FCC’s Connect2Health </w:t>
      </w:r>
      <w:r w:rsidR="00902FB0" w:rsidRPr="00010A63">
        <w:rPr>
          <w:rStyle w:val="Emphasis"/>
          <w:sz w:val="22"/>
          <w:szCs w:val="22"/>
        </w:rPr>
        <w:t>Mapping Broadband Health in America</w:t>
      </w:r>
      <w:r w:rsidR="00902FB0" w:rsidRPr="00010A63">
        <w:rPr>
          <w:sz w:val="22"/>
          <w:szCs w:val="22"/>
        </w:rPr>
        <w:t> platform</w:t>
      </w:r>
      <w:r w:rsidR="00A4645B" w:rsidRPr="00010A63">
        <w:rPr>
          <w:sz w:val="22"/>
          <w:szCs w:val="22"/>
        </w:rPr>
        <w:t xml:space="preserve"> </w:t>
      </w:r>
      <w:r w:rsidR="00E12266" w:rsidRPr="00010A63">
        <w:rPr>
          <w:sz w:val="22"/>
          <w:szCs w:val="22"/>
        </w:rPr>
        <w:t>is a</w:t>
      </w:r>
      <w:r w:rsidR="00A36D6F" w:rsidRPr="00010A63">
        <w:rPr>
          <w:sz w:val="22"/>
          <w:szCs w:val="22"/>
        </w:rPr>
        <w:t xml:space="preserve"> web-based mapping platform </w:t>
      </w:r>
      <w:r w:rsidR="00E12266" w:rsidRPr="00010A63">
        <w:rPr>
          <w:sz w:val="22"/>
          <w:szCs w:val="22"/>
        </w:rPr>
        <w:t xml:space="preserve">that </w:t>
      </w:r>
      <w:r w:rsidR="00A36D6F" w:rsidRPr="00010A63">
        <w:rPr>
          <w:sz w:val="22"/>
          <w:szCs w:val="22"/>
        </w:rPr>
        <w:t>enables more efficient, data-driven decision making at the intersection of broadband and health.</w:t>
      </w:r>
      <w:r w:rsidR="00324B35">
        <w:rPr>
          <w:sz w:val="22"/>
          <w:szCs w:val="22"/>
        </w:rPr>
        <w:t xml:space="preserve"> </w:t>
      </w:r>
      <w:r w:rsidR="00A36D6F" w:rsidRPr="00010A63">
        <w:rPr>
          <w:sz w:val="22"/>
          <w:szCs w:val="22"/>
        </w:rPr>
        <w:t xml:space="preserve"> </w:t>
      </w:r>
      <w:r w:rsidR="00E12266" w:rsidRPr="00010A63">
        <w:rPr>
          <w:sz w:val="22"/>
          <w:szCs w:val="22"/>
        </w:rPr>
        <w:t>Th</w:t>
      </w:r>
      <w:r w:rsidR="00A36D6F" w:rsidRPr="00010A63">
        <w:rPr>
          <w:sz w:val="22"/>
          <w:szCs w:val="22"/>
        </w:rPr>
        <w:t>e</w:t>
      </w:r>
      <w:r w:rsidR="00E12266" w:rsidRPr="00010A63">
        <w:rPr>
          <w:sz w:val="22"/>
          <w:szCs w:val="22"/>
        </w:rPr>
        <w:t xml:space="preserve"> </w:t>
      </w:r>
      <w:r w:rsidR="00A36D6F" w:rsidRPr="00010A63">
        <w:rPr>
          <w:sz w:val="22"/>
          <w:szCs w:val="22"/>
        </w:rPr>
        <w:t xml:space="preserve">platform allows users to visualize, overlay and analyze broadband and health data at the national, state and county levels. </w:t>
      </w:r>
      <w:r w:rsidR="00324B35">
        <w:rPr>
          <w:sz w:val="22"/>
          <w:szCs w:val="22"/>
        </w:rPr>
        <w:t xml:space="preserve"> </w:t>
      </w:r>
      <w:r w:rsidR="00A36D6F" w:rsidRPr="00010A63">
        <w:rPr>
          <w:sz w:val="22"/>
          <w:szCs w:val="22"/>
        </w:rPr>
        <w:t>The maps are an interactive experience, enabling detailed study of the intersection between connectivity and health for every county in the United States.</w:t>
      </w:r>
    </w:p>
    <w:p w14:paraId="2DB13E21" w14:textId="32A5CE75" w:rsidR="00253EB7" w:rsidRPr="00DF1FDC" w:rsidRDefault="00253EB7" w:rsidP="008A4FCE">
      <w:pPr>
        <w:spacing w:before="120" w:after="120"/>
        <w:ind w:firstLine="720"/>
      </w:pPr>
      <w:r w:rsidRPr="00030585">
        <w:rPr>
          <w:u w:val="single"/>
        </w:rPr>
        <w:t xml:space="preserve">Broadband Data </w:t>
      </w:r>
      <w:r w:rsidRPr="00382765">
        <w:rPr>
          <w:u w:val="single"/>
        </w:rPr>
        <w:t>Collection</w:t>
      </w:r>
      <w:r w:rsidRPr="00382765">
        <w:t>.  In March 2020, Congress passed the Broadband DATA Act</w:t>
      </w:r>
      <w:r>
        <w:t>,</w:t>
      </w:r>
      <w:r w:rsidRPr="00382765">
        <w:t xml:space="preserve"> instructing the FCC to </w:t>
      </w:r>
      <w:r>
        <w:t xml:space="preserve">require the biannual collection and dissemination of granular data relating to the availability and of fixed, fixed wireless, satellite, and mobile broadband internet access services that the Commission must use to render </w:t>
      </w:r>
      <w:r w:rsidRPr="00382765">
        <w:t>publicly</w:t>
      </w:r>
      <w:r w:rsidR="007524F3">
        <w:t xml:space="preserve"> </w:t>
      </w:r>
      <w:r w:rsidRPr="00382765">
        <w:t>accessible nationwide map</w:t>
      </w:r>
      <w:r>
        <w:t>s</w:t>
      </w:r>
      <w:r w:rsidRPr="00382765">
        <w:t>.</w:t>
      </w:r>
      <w:r w:rsidRPr="00382765">
        <w:rPr>
          <w:rStyle w:val="FootnoteReference"/>
        </w:rPr>
        <w:footnoteReference w:id="35"/>
      </w:r>
      <w:r>
        <w:t xml:space="preserve">  </w:t>
      </w:r>
      <w:r w:rsidR="006A51ED">
        <w:t xml:space="preserve">In response, the FCC launched a new Broadband Data Collection (BDC) </w:t>
      </w:r>
      <w:r w:rsidR="008A4FCE">
        <w:t xml:space="preserve">aimed at </w:t>
      </w:r>
      <w:r w:rsidR="00AD6C10">
        <w:t>mapping broadband service availability data at a location by location level</w:t>
      </w:r>
      <w:r w:rsidR="008A4FCE">
        <w:t xml:space="preserve">.  </w:t>
      </w:r>
      <w:r>
        <w:t xml:space="preserve">The BDC will collect </w:t>
      </w:r>
      <w:r w:rsidRPr="009E6A5A">
        <w:t xml:space="preserve">information from broadband providers in every state and territory about where </w:t>
      </w:r>
      <w:r w:rsidR="00324B35">
        <w:t>providers</w:t>
      </w:r>
      <w:r w:rsidRPr="009E6A5A">
        <w:t xml:space="preserve"> </w:t>
      </w:r>
      <w:r>
        <w:t xml:space="preserve">make </w:t>
      </w:r>
      <w:r w:rsidRPr="009E6A5A">
        <w:t>broadband services</w:t>
      </w:r>
      <w:r>
        <w:t xml:space="preserve"> available</w:t>
      </w:r>
      <w:r w:rsidRPr="00FF2A7A">
        <w:t>.</w:t>
      </w:r>
      <w:r w:rsidRPr="00FF2A7A">
        <w:rPr>
          <w:rStyle w:val="FootnoteReference"/>
        </w:rPr>
        <w:footnoteReference w:id="36"/>
      </w:r>
      <w:r w:rsidRPr="00FF2A7A">
        <w:t xml:space="preserve">  </w:t>
      </w:r>
      <w:r>
        <w:t>This i</w:t>
      </w:r>
      <w:r w:rsidRPr="00FF2A7A">
        <w:rPr>
          <w:rStyle w:val="Strong"/>
          <w:b w:val="0"/>
          <w:bCs w:val="0"/>
        </w:rPr>
        <w:t xml:space="preserve">nformation will be collected from over 2,500 </w:t>
      </w:r>
      <w:r w:rsidRPr="00C54138">
        <w:rPr>
          <w:rStyle w:val="Strong"/>
          <w:b w:val="0"/>
          <w:bCs w:val="0"/>
        </w:rPr>
        <w:t xml:space="preserve">broadband providers.  </w:t>
      </w:r>
      <w:r w:rsidR="00FC62F3">
        <w:rPr>
          <w:rStyle w:val="Emphasis"/>
          <w:i w:val="0"/>
          <w:iCs w:val="0"/>
        </w:rPr>
        <w:t>L</w:t>
      </w:r>
      <w:r w:rsidRPr="00C54138">
        <w:t xml:space="preserve">ocation-by-location </w:t>
      </w:r>
      <w:r w:rsidR="00315CB0">
        <w:t xml:space="preserve">availability </w:t>
      </w:r>
      <w:r w:rsidRPr="00C54138">
        <w:t xml:space="preserve">data </w:t>
      </w:r>
      <w:r w:rsidR="00FC62F3">
        <w:t xml:space="preserve">provided by </w:t>
      </w:r>
      <w:r>
        <w:t xml:space="preserve">fixed broadband service </w:t>
      </w:r>
      <w:r w:rsidRPr="00C54138">
        <w:t>providers</w:t>
      </w:r>
      <w:r>
        <w:t xml:space="preserve"> and standardized propagation maps </w:t>
      </w:r>
      <w:r w:rsidR="00FC62F3">
        <w:t>submitted by</w:t>
      </w:r>
      <w:r>
        <w:t xml:space="preserve"> mobile wireless broadband service providers</w:t>
      </w:r>
      <w:r w:rsidRPr="00C54138">
        <w:t xml:space="preserve"> will </w:t>
      </w:r>
      <w:r>
        <w:t xml:space="preserve">be </w:t>
      </w:r>
      <w:r w:rsidRPr="00C54138">
        <w:t xml:space="preserve">used to build nationwide broadband maps.  </w:t>
      </w:r>
      <w:r w:rsidRPr="00C54138">
        <w:rPr>
          <w:bCs/>
        </w:rPr>
        <w:t xml:space="preserve">Better broadband maps mean more information </w:t>
      </w:r>
      <w:r w:rsidR="00553E18">
        <w:rPr>
          <w:bCs/>
        </w:rPr>
        <w:t>is available for</w:t>
      </w:r>
      <w:r w:rsidRPr="00C54138">
        <w:rPr>
          <w:bCs/>
        </w:rPr>
        <w:t xml:space="preserve"> </w:t>
      </w:r>
      <w:r>
        <w:rPr>
          <w:bCs/>
        </w:rPr>
        <w:t>unserved and underserved areas or locations</w:t>
      </w:r>
      <w:r w:rsidR="00324B35">
        <w:t>.</w:t>
      </w:r>
      <w:r w:rsidRPr="00C54138">
        <w:t xml:space="preserve"> </w:t>
      </w:r>
      <w:r w:rsidR="00324B35">
        <w:t xml:space="preserve"> M</w:t>
      </w:r>
      <w:r>
        <w:t xml:space="preserve">ore </w:t>
      </w:r>
      <w:r w:rsidRPr="00C54138">
        <w:t xml:space="preserve">accurate broadband mapping can be used to promote the deployment of </w:t>
      </w:r>
      <w:r w:rsidRPr="00DF1FDC">
        <w:t>telehealth and the increased utilization of those services.</w:t>
      </w:r>
    </w:p>
    <w:p w14:paraId="03A93C1A" w14:textId="1DEE2CCE" w:rsidR="00253EB7" w:rsidRPr="00DF1FDC" w:rsidRDefault="00253EB7" w:rsidP="00253EB7">
      <w:pPr>
        <w:spacing w:before="120" w:after="120"/>
        <w:ind w:firstLine="720"/>
      </w:pPr>
      <w:r w:rsidRPr="00DF1FDC">
        <w:rPr>
          <w:rStyle w:val="Strong"/>
          <w:b w:val="0"/>
          <w:bCs w:val="0"/>
        </w:rPr>
        <w:t>The FCC’s Broadband Serviceable Location Fabric (Fabric)</w:t>
      </w:r>
      <w:r w:rsidR="0086697E">
        <w:t xml:space="preserve"> </w:t>
      </w:r>
      <w:r w:rsidRPr="00DF1FDC">
        <w:t xml:space="preserve">is a dataset that includes all </w:t>
      </w:r>
      <w:r>
        <w:t xml:space="preserve">business or residential </w:t>
      </w:r>
      <w:r w:rsidRPr="00DF1FDC">
        <w:t>locations in the United States and Territories where fixed broadband internet access service has been or could be installed</w:t>
      </w:r>
      <w:r>
        <w:t xml:space="preserve"> (these locations are referred to as broadband-serviceable locations, or BSLs)</w:t>
      </w:r>
      <w:r w:rsidRPr="00DF1FDC">
        <w:t>.</w:t>
      </w:r>
      <w:r w:rsidRPr="00DF1FDC">
        <w:rPr>
          <w:rStyle w:val="FootnoteReference"/>
        </w:rPr>
        <w:footnoteReference w:id="37"/>
      </w:r>
      <w:r w:rsidRPr="00DF1FDC">
        <w:t xml:space="preserve"> </w:t>
      </w:r>
      <w:r w:rsidR="0086697E">
        <w:t xml:space="preserve"> </w:t>
      </w:r>
      <w:r w:rsidR="009A2955">
        <w:t>On June 23, 2022, t</w:t>
      </w:r>
      <w:r w:rsidRPr="00DF1FDC">
        <w:t>he</w:t>
      </w:r>
      <w:r w:rsidR="009A2955">
        <w:t xml:space="preserve"> initial</w:t>
      </w:r>
      <w:r w:rsidRPr="00DF1FDC">
        <w:t xml:space="preserve"> version of the Fabric</w:t>
      </w:r>
      <w:r w:rsidR="0086697E">
        <w:t xml:space="preserve"> </w:t>
      </w:r>
      <w:r w:rsidR="009A2955">
        <w:t xml:space="preserve">was made </w:t>
      </w:r>
      <w:r w:rsidRPr="00DF1FDC">
        <w:t>available</w:t>
      </w:r>
      <w:r w:rsidR="0086697E">
        <w:t xml:space="preserve"> </w:t>
      </w:r>
      <w:r w:rsidRPr="00DF1FDC">
        <w:t>to b</w:t>
      </w:r>
      <w:r w:rsidRPr="00DF1FDC">
        <w:rPr>
          <w:shd w:val="clear" w:color="auto" w:fill="FFFFFF"/>
        </w:rPr>
        <w:t>roadband service providers and federal, Tribal, state, and local governments for the counties in their service area or jurisdiction, respectively.</w:t>
      </w:r>
      <w:r w:rsidR="009A2955">
        <w:rPr>
          <w:shd w:val="clear" w:color="auto" w:fill="FFFFFF"/>
        </w:rPr>
        <w:t xml:space="preserve"> </w:t>
      </w:r>
      <w:r w:rsidR="008A4FCE">
        <w:rPr>
          <w:shd w:val="clear" w:color="auto" w:fill="FFFFFF"/>
        </w:rPr>
        <w:t xml:space="preserve"> </w:t>
      </w:r>
      <w:r w:rsidR="009A2955">
        <w:rPr>
          <w:shd w:val="clear" w:color="auto" w:fill="FFFFFF"/>
        </w:rPr>
        <w:t>Other stakeholders can also request access to the Fabric for participation in the challenge processes, described in more detail below.</w:t>
      </w:r>
      <w:r w:rsidR="00C3530D">
        <w:rPr>
          <w:rStyle w:val="FootnoteReference"/>
          <w:shd w:val="clear" w:color="auto" w:fill="FFFFFF"/>
        </w:rPr>
        <w:footnoteReference w:id="38"/>
      </w:r>
    </w:p>
    <w:p w14:paraId="19CBEDC5" w14:textId="20C40ECF" w:rsidR="008A4FCE" w:rsidRPr="008A4FCE" w:rsidRDefault="00253EB7" w:rsidP="00C50FBB">
      <w:pPr>
        <w:pStyle w:val="NormalWeb"/>
        <w:shd w:val="clear" w:color="auto" w:fill="FFFFFF" w:themeFill="background1"/>
        <w:spacing w:before="120" w:beforeAutospacing="0" w:after="120" w:afterAutospacing="0"/>
        <w:ind w:firstLine="720"/>
      </w:pPr>
      <w:r w:rsidRPr="00DF1FDC">
        <w:rPr>
          <w:sz w:val="22"/>
          <w:szCs w:val="22"/>
        </w:rPr>
        <w:t>The Fabric reflects each BSL as a single location point defined by a set of geographic coordinates that fall within the footprint of a structure, and each such location has been assigned a unique FCC location identifier.</w:t>
      </w:r>
      <w:r w:rsidRPr="00DF1FDC">
        <w:rPr>
          <w:rFonts w:ascii="Open Sans" w:hAnsi="Open Sans" w:cs="Open Sans"/>
          <w:sz w:val="22"/>
          <w:szCs w:val="22"/>
        </w:rPr>
        <w:t xml:space="preserve"> </w:t>
      </w:r>
      <w:r w:rsidR="0086697E">
        <w:rPr>
          <w:rFonts w:ascii="Open Sans" w:hAnsi="Open Sans" w:cs="Open Sans"/>
          <w:sz w:val="22"/>
          <w:szCs w:val="22"/>
        </w:rPr>
        <w:t xml:space="preserve"> </w:t>
      </w:r>
      <w:r w:rsidRPr="00DF1FDC">
        <w:rPr>
          <w:sz w:val="22"/>
          <w:szCs w:val="22"/>
        </w:rPr>
        <w:t xml:space="preserve">The Fabric allows </w:t>
      </w:r>
      <w:r>
        <w:rPr>
          <w:sz w:val="22"/>
          <w:szCs w:val="22"/>
        </w:rPr>
        <w:t xml:space="preserve">fixed </w:t>
      </w:r>
      <w:r w:rsidRPr="00DF1FDC">
        <w:rPr>
          <w:sz w:val="22"/>
          <w:szCs w:val="22"/>
        </w:rPr>
        <w:t xml:space="preserve">broadband data filers and the FCC to work from a single, standardized list of locations </w:t>
      </w:r>
      <w:r w:rsidR="003F1712">
        <w:rPr>
          <w:sz w:val="22"/>
          <w:szCs w:val="22"/>
        </w:rPr>
        <w:t xml:space="preserve">when filing their availability data in </w:t>
      </w:r>
      <w:r w:rsidRPr="00DF1FDC">
        <w:rPr>
          <w:sz w:val="22"/>
          <w:szCs w:val="22"/>
        </w:rPr>
        <w:t>the BDC.</w:t>
      </w:r>
      <w:r w:rsidR="0086697E">
        <w:rPr>
          <w:sz w:val="22"/>
          <w:szCs w:val="22"/>
        </w:rPr>
        <w:t xml:space="preserve"> </w:t>
      </w:r>
      <w:r w:rsidRPr="00DF1FDC">
        <w:rPr>
          <w:sz w:val="22"/>
          <w:szCs w:val="22"/>
        </w:rPr>
        <w:t xml:space="preserve"> </w:t>
      </w:r>
      <w:r w:rsidR="008A4FCE" w:rsidRPr="00142F67">
        <w:rPr>
          <w:sz w:val="22"/>
          <w:szCs w:val="22"/>
        </w:rPr>
        <w:t xml:space="preserve">On June 30, 2022, the FCC opened its inaugural filing window for </w:t>
      </w:r>
      <w:r w:rsidR="008A4FCE">
        <w:rPr>
          <w:sz w:val="22"/>
          <w:szCs w:val="22"/>
        </w:rPr>
        <w:t xml:space="preserve">facilities-based broadband service providers to begin filing in the </w:t>
      </w:r>
      <w:r w:rsidR="008A4FCE" w:rsidRPr="00142F67">
        <w:rPr>
          <w:sz w:val="22"/>
          <w:szCs w:val="22"/>
        </w:rPr>
        <w:t>BDC</w:t>
      </w:r>
      <w:r w:rsidR="008A4FCE">
        <w:rPr>
          <w:sz w:val="22"/>
          <w:szCs w:val="22"/>
        </w:rPr>
        <w:t xml:space="preserve"> system data that reflects where they made mass-market internet access service available as of that date</w:t>
      </w:r>
      <w:r w:rsidR="008A4FCE" w:rsidRPr="00142F67">
        <w:rPr>
          <w:sz w:val="22"/>
          <w:szCs w:val="22"/>
        </w:rPr>
        <w:t>.</w:t>
      </w:r>
      <w:r w:rsidR="008A4FCE">
        <w:rPr>
          <w:rStyle w:val="FootnoteReference"/>
          <w:sz w:val="22"/>
          <w:szCs w:val="22"/>
        </w:rPr>
        <w:footnoteReference w:id="39"/>
      </w:r>
      <w:r w:rsidR="008A4FCE" w:rsidRPr="00142F67">
        <w:rPr>
          <w:sz w:val="22"/>
          <w:szCs w:val="22"/>
        </w:rPr>
        <w:t xml:space="preserve"> </w:t>
      </w:r>
      <w:r w:rsidR="008A4FCE">
        <w:rPr>
          <w:sz w:val="22"/>
          <w:szCs w:val="22"/>
        </w:rPr>
        <w:t xml:space="preserve"> </w:t>
      </w:r>
      <w:r w:rsidRPr="00DF1FDC">
        <w:rPr>
          <w:sz w:val="22"/>
          <w:szCs w:val="22"/>
        </w:rPr>
        <w:t xml:space="preserve">Filers may choose only one format for their fixed availability data in each BDC filing.  If </w:t>
      </w:r>
      <w:r>
        <w:rPr>
          <w:sz w:val="22"/>
          <w:szCs w:val="22"/>
        </w:rPr>
        <w:t xml:space="preserve">fixed </w:t>
      </w:r>
      <w:r w:rsidRPr="00DF1FDC">
        <w:rPr>
          <w:sz w:val="22"/>
          <w:szCs w:val="22"/>
        </w:rPr>
        <w:t xml:space="preserve">availability data is submitted as a list of locations, then the filing must contain data on all of the </w:t>
      </w:r>
      <w:r>
        <w:rPr>
          <w:sz w:val="22"/>
          <w:szCs w:val="22"/>
        </w:rPr>
        <w:t>BSLs</w:t>
      </w:r>
      <w:r w:rsidRPr="00DF1FDC">
        <w:rPr>
          <w:sz w:val="22"/>
          <w:szCs w:val="22"/>
        </w:rPr>
        <w:t xml:space="preserve"> to </w:t>
      </w:r>
      <w:r w:rsidRPr="00DF1FDC">
        <w:rPr>
          <w:sz w:val="22"/>
          <w:szCs w:val="22"/>
        </w:rPr>
        <w:lastRenderedPageBreak/>
        <w:t xml:space="preserve">which fixed broadband service is currently provided or can be provided with a standard broadband installation </w:t>
      </w:r>
      <w:r w:rsidR="00FC62F3">
        <w:rPr>
          <w:sz w:val="22"/>
          <w:szCs w:val="22"/>
        </w:rPr>
        <w:t xml:space="preserve">as directed by </w:t>
      </w:r>
      <w:r w:rsidRPr="00DF1FDC">
        <w:rPr>
          <w:sz w:val="22"/>
          <w:szCs w:val="22"/>
        </w:rPr>
        <w:t xml:space="preserve">FCC rules.  If the filer chooses to submit </w:t>
      </w:r>
      <w:r>
        <w:rPr>
          <w:sz w:val="22"/>
          <w:szCs w:val="22"/>
        </w:rPr>
        <w:t xml:space="preserve">fixed </w:t>
      </w:r>
      <w:r w:rsidRPr="00DF1FDC">
        <w:rPr>
          <w:sz w:val="22"/>
          <w:szCs w:val="22"/>
        </w:rPr>
        <w:t>availability data as a coverage polygon, the data must be in an accepted GIS format with polygon geometrics and associated data attributes.</w:t>
      </w:r>
      <w:r w:rsidRPr="00DF1FDC">
        <w:rPr>
          <w:rStyle w:val="FootnoteReference"/>
          <w:sz w:val="22"/>
          <w:szCs w:val="22"/>
        </w:rPr>
        <w:footnoteReference w:id="40"/>
      </w:r>
      <w:r>
        <w:rPr>
          <w:sz w:val="22"/>
          <w:szCs w:val="22"/>
        </w:rPr>
        <w:t xml:space="preserve">  Mobile broadband providers must submit a propagation map </w:t>
      </w:r>
      <w:r w:rsidRPr="006123D6">
        <w:rPr>
          <w:sz w:val="22"/>
          <w:szCs w:val="22"/>
        </w:rPr>
        <w:t xml:space="preserve">for each network </w:t>
      </w:r>
      <w:r w:rsidRPr="008A4FCE">
        <w:rPr>
          <w:sz w:val="22"/>
          <w:szCs w:val="22"/>
        </w:rPr>
        <w:t>technology they offer (</w:t>
      </w:r>
      <w:r w:rsidRPr="008A4FCE">
        <w:rPr>
          <w:i/>
          <w:iCs/>
          <w:sz w:val="22"/>
          <w:szCs w:val="22"/>
        </w:rPr>
        <w:t>e.g.</w:t>
      </w:r>
      <w:r w:rsidRPr="008A4FCE">
        <w:rPr>
          <w:sz w:val="22"/>
          <w:szCs w:val="22"/>
        </w:rPr>
        <w:t>, 3G, 4G LTE, 5G-NR) and for both outdoor stationary and in-vehicle mobile network coverage, and must include details of their propagation models and of the link budgets they use for modeling cell edge network throughput.</w:t>
      </w:r>
      <w:r w:rsidRPr="008A4FCE">
        <w:rPr>
          <w:rStyle w:val="FootnoteReference"/>
          <w:sz w:val="22"/>
          <w:szCs w:val="22"/>
        </w:rPr>
        <w:footnoteReference w:id="41"/>
      </w:r>
      <w:r w:rsidRPr="008A4FCE">
        <w:rPr>
          <w:sz w:val="22"/>
          <w:szCs w:val="22"/>
        </w:rPr>
        <w:t xml:space="preserve">  All mobile files must contain valid GIS data in a supported file format (</w:t>
      </w:r>
      <w:r w:rsidRPr="008A4FCE">
        <w:rPr>
          <w:i/>
          <w:iCs/>
          <w:sz w:val="22"/>
          <w:szCs w:val="22"/>
        </w:rPr>
        <w:t>i.e.</w:t>
      </w:r>
      <w:r w:rsidRPr="008A4FCE">
        <w:rPr>
          <w:sz w:val="22"/>
          <w:szCs w:val="22"/>
        </w:rPr>
        <w:t xml:space="preserve">, ESRI Shapefile, ESRI </w:t>
      </w:r>
      <w:proofErr w:type="spellStart"/>
      <w:r w:rsidRPr="008A4FCE">
        <w:rPr>
          <w:sz w:val="22"/>
          <w:szCs w:val="22"/>
        </w:rPr>
        <w:t>FileGDB</w:t>
      </w:r>
      <w:proofErr w:type="spellEnd"/>
      <w:r w:rsidRPr="008A4FCE">
        <w:rPr>
          <w:sz w:val="22"/>
          <w:szCs w:val="22"/>
        </w:rPr>
        <w:t xml:space="preserve">, </w:t>
      </w:r>
      <w:proofErr w:type="spellStart"/>
      <w:r w:rsidRPr="008A4FCE">
        <w:rPr>
          <w:sz w:val="22"/>
          <w:szCs w:val="22"/>
        </w:rPr>
        <w:t>GeoJSON</w:t>
      </w:r>
      <w:proofErr w:type="spellEnd"/>
      <w:r w:rsidRPr="008A4FCE">
        <w:rPr>
          <w:sz w:val="22"/>
          <w:szCs w:val="22"/>
        </w:rPr>
        <w:t xml:space="preserve">, or </w:t>
      </w:r>
      <w:proofErr w:type="spellStart"/>
      <w:r w:rsidRPr="008A4FCE">
        <w:rPr>
          <w:sz w:val="22"/>
          <w:szCs w:val="22"/>
        </w:rPr>
        <w:t>GeoPackage</w:t>
      </w:r>
      <w:proofErr w:type="spellEnd"/>
      <w:r w:rsidRPr="008A4FCE">
        <w:rPr>
          <w:sz w:val="22"/>
          <w:szCs w:val="22"/>
        </w:rPr>
        <w:t>).</w:t>
      </w:r>
    </w:p>
    <w:p w14:paraId="42BC718C" w14:textId="77777777" w:rsidR="002B1D19" w:rsidRDefault="00AE1789" w:rsidP="002B1D19">
      <w:pPr>
        <w:pStyle w:val="NormalWeb"/>
        <w:shd w:val="clear" w:color="auto" w:fill="FFFFFF" w:themeFill="background1"/>
        <w:ind w:firstLine="720"/>
        <w:rPr>
          <w:sz w:val="22"/>
          <w:szCs w:val="22"/>
        </w:rPr>
      </w:pPr>
      <w:r w:rsidRPr="008A4FCE">
        <w:rPr>
          <w:sz w:val="22"/>
          <w:szCs w:val="22"/>
        </w:rPr>
        <w:t>On September 12, 2022, the FCC began receiving bulk challenges to Fabric locations from governmental entities and othe</w:t>
      </w:r>
      <w:r w:rsidRPr="00C3530D">
        <w:rPr>
          <w:sz w:val="22"/>
          <w:szCs w:val="22"/>
        </w:rPr>
        <w:t>r third parties</w:t>
      </w:r>
      <w:r w:rsidR="00E81275" w:rsidRPr="00C3530D">
        <w:rPr>
          <w:sz w:val="22"/>
          <w:szCs w:val="22"/>
        </w:rPr>
        <w:t xml:space="preserve"> and, now that the national broadband map has been published (see discussion below), consumers may challenge individual locations reported on the map for their own residences and small businesses</w:t>
      </w:r>
      <w:r w:rsidRPr="00C3530D">
        <w:rPr>
          <w:sz w:val="22"/>
          <w:szCs w:val="22"/>
        </w:rPr>
        <w:t>.</w:t>
      </w:r>
      <w:r w:rsidRPr="00C3530D">
        <w:rPr>
          <w:rStyle w:val="FootnoteReference"/>
          <w:sz w:val="22"/>
          <w:szCs w:val="22"/>
          <w:shd w:val="clear" w:color="auto" w:fill="FFFFFF"/>
        </w:rPr>
        <w:footnoteReference w:id="42"/>
      </w:r>
      <w:r w:rsidRPr="00C3530D">
        <w:rPr>
          <w:sz w:val="22"/>
          <w:szCs w:val="22"/>
        </w:rPr>
        <w:t xml:space="preserve"> Permissible grounds for challenges to the Fabric include adding missing locations, correcting the address, unit count or geographic coordinates for a location, or disputing the categorization of a location as a BSL.</w:t>
      </w:r>
      <w:r w:rsidRPr="00C3530D">
        <w:rPr>
          <w:rStyle w:val="FootnoteReference"/>
          <w:sz w:val="22"/>
          <w:szCs w:val="22"/>
        </w:rPr>
        <w:footnoteReference w:id="43"/>
      </w:r>
      <w:r w:rsidRPr="00C3530D">
        <w:rPr>
          <w:sz w:val="22"/>
          <w:szCs w:val="22"/>
        </w:rPr>
        <w:t xml:space="preserve"> Availability data collected in each subsequent biannual BDC filing window will rely on an updated version of the Fabric.  The Fabric will be updated based on new underlying location/GIS data as well as the results of Fabric challenges adjudicated and incorporated into the next iteration of the Fabric in advance of the opening of the next availability filing window.</w:t>
      </w:r>
    </w:p>
    <w:p w14:paraId="7C975C08" w14:textId="582C9E29" w:rsidR="00253EB7" w:rsidRPr="00C3530D" w:rsidRDefault="000C5D2A" w:rsidP="002B1D19">
      <w:pPr>
        <w:pStyle w:val="NormalWeb"/>
        <w:shd w:val="clear" w:color="auto" w:fill="FFFFFF" w:themeFill="background1"/>
        <w:ind w:firstLine="720"/>
        <w:rPr>
          <w:sz w:val="22"/>
          <w:szCs w:val="22"/>
        </w:rPr>
      </w:pPr>
      <w:r w:rsidRPr="00C3530D">
        <w:rPr>
          <w:sz w:val="22"/>
          <w:szCs w:val="22"/>
        </w:rPr>
        <w:t xml:space="preserve">On November 18, 2022, the FCC released a pre-production draft of its new National Broadband Map </w:t>
      </w:r>
      <w:r w:rsidR="00ED60E3" w:rsidRPr="00C3530D">
        <w:rPr>
          <w:sz w:val="22"/>
          <w:szCs w:val="22"/>
        </w:rPr>
        <w:t>showing fixed and mobile broadband availability,</w:t>
      </w:r>
      <w:r w:rsidR="00FC62F3" w:rsidRPr="00C3530D">
        <w:rPr>
          <w:sz w:val="22"/>
          <w:szCs w:val="22"/>
        </w:rPr>
        <w:t xml:space="preserve"> </w:t>
      </w:r>
      <w:r w:rsidR="00ED60E3" w:rsidRPr="00C3530D">
        <w:rPr>
          <w:sz w:val="22"/>
          <w:szCs w:val="22"/>
        </w:rPr>
        <w:t xml:space="preserve">based on </w:t>
      </w:r>
      <w:r w:rsidR="00FC62F3" w:rsidRPr="00C3530D">
        <w:rPr>
          <w:sz w:val="22"/>
          <w:szCs w:val="22"/>
        </w:rPr>
        <w:t>data submitted by providers</w:t>
      </w:r>
      <w:r w:rsidR="00ED60E3" w:rsidRPr="00C3530D">
        <w:rPr>
          <w:sz w:val="22"/>
          <w:szCs w:val="22"/>
        </w:rPr>
        <w:t>,</w:t>
      </w:r>
      <w:r w:rsidR="00FC62F3" w:rsidRPr="00C3530D">
        <w:rPr>
          <w:sz w:val="22"/>
          <w:szCs w:val="22"/>
        </w:rPr>
        <w:t xml:space="preserve"> </w:t>
      </w:r>
      <w:r w:rsidR="00ED60E3" w:rsidRPr="00C3530D">
        <w:rPr>
          <w:sz w:val="22"/>
          <w:szCs w:val="22"/>
        </w:rPr>
        <w:t>as of</w:t>
      </w:r>
      <w:r w:rsidR="00253EB7" w:rsidRPr="00C3530D">
        <w:rPr>
          <w:sz w:val="22"/>
          <w:szCs w:val="22"/>
        </w:rPr>
        <w:t xml:space="preserve"> June 30, 2022</w:t>
      </w:r>
      <w:r w:rsidR="00FC62F3" w:rsidRPr="00C3530D">
        <w:rPr>
          <w:sz w:val="22"/>
          <w:szCs w:val="22"/>
        </w:rPr>
        <w:t>.</w:t>
      </w:r>
      <w:r w:rsidR="00253EB7" w:rsidRPr="00C3530D">
        <w:rPr>
          <w:rStyle w:val="FootnoteReference"/>
          <w:sz w:val="22"/>
          <w:szCs w:val="22"/>
        </w:rPr>
        <w:footnoteReference w:id="44"/>
      </w:r>
      <w:r w:rsidR="00253EB7" w:rsidRPr="00C3530D">
        <w:rPr>
          <w:sz w:val="22"/>
          <w:szCs w:val="22"/>
        </w:rPr>
        <w:t xml:space="preserve">  </w:t>
      </w:r>
      <w:r w:rsidR="00553E18" w:rsidRPr="00C3530D">
        <w:rPr>
          <w:sz w:val="22"/>
          <w:szCs w:val="22"/>
        </w:rPr>
        <w:t>T</w:t>
      </w:r>
      <w:r w:rsidR="00253EB7" w:rsidRPr="00C3530D">
        <w:rPr>
          <w:sz w:val="22"/>
          <w:szCs w:val="22"/>
        </w:rPr>
        <w:t>he initial map</w:t>
      </w:r>
      <w:r w:rsidRPr="00C3530D">
        <w:rPr>
          <w:sz w:val="22"/>
          <w:szCs w:val="22"/>
        </w:rPr>
        <w:t xml:space="preserve"> provides</w:t>
      </w:r>
      <w:r w:rsidR="00253EB7" w:rsidRPr="00C3530D">
        <w:rPr>
          <w:sz w:val="22"/>
          <w:szCs w:val="22"/>
        </w:rPr>
        <w:t xml:space="preserve"> a far more accurate picture of broadband availability in the United States than ever befor</w:t>
      </w:r>
      <w:r w:rsidR="00553E18" w:rsidRPr="00C3530D">
        <w:rPr>
          <w:sz w:val="22"/>
          <w:szCs w:val="22"/>
        </w:rPr>
        <w:t>e.  However,</w:t>
      </w:r>
      <w:r w:rsidR="00253EB7" w:rsidRPr="00C3530D">
        <w:rPr>
          <w:sz w:val="22"/>
          <w:szCs w:val="22"/>
        </w:rPr>
        <w:t xml:space="preserve"> the </w:t>
      </w:r>
      <w:r w:rsidR="00FC62F3" w:rsidRPr="00C3530D">
        <w:rPr>
          <w:sz w:val="22"/>
          <w:szCs w:val="22"/>
        </w:rPr>
        <w:t>Commission</w:t>
      </w:r>
      <w:r w:rsidR="00553E18" w:rsidRPr="00C3530D">
        <w:rPr>
          <w:sz w:val="22"/>
          <w:szCs w:val="22"/>
        </w:rPr>
        <w:t xml:space="preserve">’s </w:t>
      </w:r>
      <w:r w:rsidR="00253EB7" w:rsidRPr="00C3530D">
        <w:rPr>
          <w:sz w:val="22"/>
          <w:szCs w:val="22"/>
        </w:rPr>
        <w:t>mapping process is iterative</w:t>
      </w:r>
      <w:r w:rsidR="00FE2642" w:rsidRPr="00C3530D">
        <w:rPr>
          <w:sz w:val="22"/>
          <w:szCs w:val="22"/>
        </w:rPr>
        <w:t>,</w:t>
      </w:r>
      <w:r w:rsidR="00253EB7" w:rsidRPr="00C3530D">
        <w:rPr>
          <w:sz w:val="22"/>
          <w:szCs w:val="22"/>
        </w:rPr>
        <w:t xml:space="preserve"> and the resulting maps will be updated, refined, and improved over time.</w:t>
      </w:r>
    </w:p>
    <w:p w14:paraId="55B299F0" w14:textId="7C406687" w:rsidR="00253EB7" w:rsidRDefault="000C5D2A" w:rsidP="00253EB7">
      <w:pPr>
        <w:pStyle w:val="NormalWeb"/>
        <w:shd w:val="clear" w:color="auto" w:fill="FFFFFF"/>
        <w:spacing w:before="120" w:beforeAutospacing="0" w:after="120" w:afterAutospacing="0"/>
        <w:ind w:firstLine="720"/>
        <w:rPr>
          <w:sz w:val="22"/>
          <w:szCs w:val="22"/>
          <w:shd w:val="clear" w:color="auto" w:fill="FFFFFF"/>
        </w:rPr>
      </w:pPr>
      <w:r w:rsidRPr="00C3530D">
        <w:rPr>
          <w:sz w:val="22"/>
          <w:szCs w:val="22"/>
          <w:shd w:val="clear" w:color="auto" w:fill="FFFFFF"/>
        </w:rPr>
        <w:t>Now that the fi</w:t>
      </w:r>
      <w:r w:rsidR="00253EB7" w:rsidRPr="00C3530D">
        <w:rPr>
          <w:sz w:val="22"/>
          <w:szCs w:val="22"/>
          <w:shd w:val="clear" w:color="auto" w:fill="FFFFFF"/>
        </w:rPr>
        <w:t>rst map</w:t>
      </w:r>
      <w:r w:rsidRPr="00C3530D">
        <w:rPr>
          <w:sz w:val="22"/>
          <w:szCs w:val="22"/>
          <w:shd w:val="clear" w:color="auto" w:fill="FFFFFF"/>
        </w:rPr>
        <w:t xml:space="preserve"> has been released</w:t>
      </w:r>
      <w:r w:rsidR="00253EB7" w:rsidRPr="00C3530D">
        <w:rPr>
          <w:sz w:val="22"/>
          <w:szCs w:val="22"/>
          <w:shd w:val="clear" w:color="auto" w:fill="FFFFFF"/>
        </w:rPr>
        <w:t>, state and local governments, Tribal governments, consumers</w:t>
      </w:r>
      <w:r w:rsidR="007468F7" w:rsidRPr="00C3530D">
        <w:rPr>
          <w:sz w:val="22"/>
          <w:szCs w:val="22"/>
          <w:shd w:val="clear" w:color="auto" w:fill="FFFFFF"/>
        </w:rPr>
        <w:t>,</w:t>
      </w:r>
      <w:r w:rsidR="00253EB7" w:rsidRPr="00C3530D">
        <w:rPr>
          <w:sz w:val="22"/>
          <w:szCs w:val="22"/>
          <w:shd w:val="clear" w:color="auto" w:fill="FFFFFF"/>
        </w:rPr>
        <w:t xml:space="preserve"> and </w:t>
      </w:r>
      <w:r w:rsidR="00FC62F3" w:rsidRPr="00C3530D">
        <w:rPr>
          <w:sz w:val="22"/>
          <w:szCs w:val="22"/>
          <w:shd w:val="clear" w:color="auto" w:fill="FFFFFF"/>
        </w:rPr>
        <w:t>interested</w:t>
      </w:r>
      <w:r w:rsidR="00253EB7" w:rsidRPr="00C3530D">
        <w:rPr>
          <w:sz w:val="22"/>
          <w:szCs w:val="22"/>
          <w:shd w:val="clear" w:color="auto" w:fill="FFFFFF"/>
        </w:rPr>
        <w:t xml:space="preserve"> third parties, including providers, will be able to challenge and improve the accuracy of the fixed and mobile availability data submitted by providers.</w:t>
      </w:r>
      <w:r w:rsidR="00253EB7" w:rsidRPr="00C3530D">
        <w:rPr>
          <w:rStyle w:val="FootnoteReference"/>
          <w:sz w:val="22"/>
          <w:szCs w:val="22"/>
          <w:shd w:val="clear" w:color="auto" w:fill="FFFFFF"/>
        </w:rPr>
        <w:footnoteReference w:id="45"/>
      </w:r>
      <w:r w:rsidR="00253EB7" w:rsidRPr="00DF1FDC">
        <w:rPr>
          <w:sz w:val="22"/>
          <w:szCs w:val="22"/>
          <w:shd w:val="clear" w:color="auto" w:fill="FFFFFF"/>
        </w:rPr>
        <w:t xml:space="preserve">  </w:t>
      </w:r>
      <w:r w:rsidR="00253EB7" w:rsidRPr="00EA60D0">
        <w:rPr>
          <w:sz w:val="22"/>
          <w:szCs w:val="22"/>
          <w:shd w:val="clear" w:color="auto" w:fill="FFFFFF"/>
        </w:rPr>
        <w:t>Challengers may dispute the availability of fixed broadband service at a particular location (or set of locations), including the network technology and maximum advertised download and upload speed reported by the fixed broadband service provider</w:t>
      </w:r>
      <w:r w:rsidR="00253EB7">
        <w:rPr>
          <w:sz w:val="22"/>
          <w:szCs w:val="22"/>
          <w:shd w:val="clear" w:color="auto" w:fill="FFFFFF"/>
        </w:rPr>
        <w:t>.  In general, challenges to fixed broadband availability may be based on</w:t>
      </w:r>
      <w:r w:rsidR="00253EB7">
        <w:t xml:space="preserve"> </w:t>
      </w:r>
      <w:r w:rsidR="00253EB7">
        <w:rPr>
          <w:sz w:val="22"/>
          <w:szCs w:val="22"/>
          <w:shd w:val="clear" w:color="auto" w:fill="FFFFFF"/>
        </w:rPr>
        <w:t>t</w:t>
      </w:r>
      <w:r w:rsidR="00253EB7" w:rsidRPr="00EA60D0">
        <w:rPr>
          <w:sz w:val="22"/>
          <w:szCs w:val="22"/>
          <w:shd w:val="clear" w:color="auto" w:fill="FFFFFF"/>
        </w:rPr>
        <w:t xml:space="preserve">he reported service </w:t>
      </w:r>
      <w:r w:rsidR="00253EB7">
        <w:rPr>
          <w:sz w:val="22"/>
          <w:szCs w:val="22"/>
          <w:shd w:val="clear" w:color="auto" w:fill="FFFFFF"/>
        </w:rPr>
        <w:t>not being</w:t>
      </w:r>
      <w:r w:rsidR="00253EB7" w:rsidRPr="00EA60D0">
        <w:rPr>
          <w:sz w:val="22"/>
          <w:szCs w:val="22"/>
          <w:shd w:val="clear" w:color="auto" w:fill="FFFFFF"/>
        </w:rPr>
        <w:t xml:space="preserve"> offered or the reported speed </w:t>
      </w:r>
      <w:r w:rsidR="00253EB7">
        <w:rPr>
          <w:sz w:val="22"/>
          <w:szCs w:val="22"/>
          <w:shd w:val="clear" w:color="auto" w:fill="FFFFFF"/>
        </w:rPr>
        <w:t>not being</w:t>
      </w:r>
      <w:r w:rsidR="00253EB7" w:rsidRPr="00EA60D0">
        <w:rPr>
          <w:sz w:val="22"/>
          <w:szCs w:val="22"/>
          <w:shd w:val="clear" w:color="auto" w:fill="FFFFFF"/>
        </w:rPr>
        <w:t xml:space="preserve"> available for purchase</w:t>
      </w:r>
      <w:r w:rsidR="00253EB7">
        <w:rPr>
          <w:sz w:val="22"/>
          <w:szCs w:val="22"/>
          <w:shd w:val="clear" w:color="auto" w:fill="FFFFFF"/>
        </w:rPr>
        <w:t>, a provider’s denial of</w:t>
      </w:r>
      <w:r w:rsidR="00253EB7" w:rsidRPr="00EA60D0">
        <w:rPr>
          <w:sz w:val="22"/>
          <w:szCs w:val="22"/>
          <w:shd w:val="clear" w:color="auto" w:fill="FFFFFF"/>
        </w:rPr>
        <w:t xml:space="preserve"> a request for </w:t>
      </w:r>
      <w:r w:rsidR="00253EB7" w:rsidRPr="00EA60D0">
        <w:rPr>
          <w:sz w:val="22"/>
          <w:szCs w:val="22"/>
          <w:shd w:val="clear" w:color="auto" w:fill="FFFFFF"/>
        </w:rPr>
        <w:lastRenderedPageBreak/>
        <w:t>service or</w:t>
      </w:r>
      <w:r w:rsidR="00253EB7">
        <w:rPr>
          <w:sz w:val="22"/>
          <w:szCs w:val="22"/>
          <w:shd w:val="clear" w:color="auto" w:fill="FFFFFF"/>
        </w:rPr>
        <w:t xml:space="preserve"> </w:t>
      </w:r>
      <w:r w:rsidR="00253EB7" w:rsidRPr="00EA60D0">
        <w:rPr>
          <w:sz w:val="22"/>
          <w:szCs w:val="22"/>
          <w:shd w:val="clear" w:color="auto" w:fill="FFFFFF"/>
        </w:rPr>
        <w:t xml:space="preserve">demand </w:t>
      </w:r>
      <w:r w:rsidR="00253EB7">
        <w:rPr>
          <w:sz w:val="22"/>
          <w:szCs w:val="22"/>
          <w:shd w:val="clear" w:color="auto" w:fill="FFFFFF"/>
        </w:rPr>
        <w:t xml:space="preserve">of </w:t>
      </w:r>
      <w:r w:rsidR="00253EB7" w:rsidRPr="00EA60D0">
        <w:rPr>
          <w:sz w:val="22"/>
          <w:szCs w:val="22"/>
          <w:shd w:val="clear" w:color="auto" w:fill="FFFFFF"/>
        </w:rPr>
        <w:t xml:space="preserve">connection charges that exceed </w:t>
      </w:r>
      <w:r w:rsidR="00253EB7">
        <w:rPr>
          <w:sz w:val="22"/>
          <w:szCs w:val="22"/>
          <w:shd w:val="clear" w:color="auto" w:fill="FFFFFF"/>
        </w:rPr>
        <w:t>a provider’s</w:t>
      </w:r>
      <w:r w:rsidR="00253EB7" w:rsidRPr="00EA60D0">
        <w:rPr>
          <w:sz w:val="22"/>
          <w:szCs w:val="22"/>
          <w:shd w:val="clear" w:color="auto" w:fill="FFFFFF"/>
        </w:rPr>
        <w:t xml:space="preserve"> standard installation charge</w:t>
      </w:r>
      <w:r w:rsidR="00253EB7">
        <w:rPr>
          <w:sz w:val="22"/>
          <w:szCs w:val="22"/>
          <w:shd w:val="clear" w:color="auto" w:fill="FFFFFF"/>
        </w:rPr>
        <w:t xml:space="preserve">, </w:t>
      </w:r>
      <w:r w:rsidR="00253EB7" w:rsidRPr="00EA60D0">
        <w:rPr>
          <w:sz w:val="22"/>
          <w:szCs w:val="22"/>
          <w:shd w:val="clear" w:color="auto" w:fill="FFFFFF"/>
        </w:rPr>
        <w:t>or</w:t>
      </w:r>
      <w:r w:rsidR="00253EB7">
        <w:rPr>
          <w:sz w:val="22"/>
          <w:szCs w:val="22"/>
          <w:shd w:val="clear" w:color="auto" w:fill="FFFFFF"/>
        </w:rPr>
        <w:t xml:space="preserve"> t</w:t>
      </w:r>
      <w:r w:rsidR="00253EB7" w:rsidRPr="00EA60D0">
        <w:rPr>
          <w:sz w:val="22"/>
          <w:szCs w:val="22"/>
          <w:shd w:val="clear" w:color="auto" w:fill="FFFFFF"/>
        </w:rPr>
        <w:t>he provider</w:t>
      </w:r>
      <w:r w:rsidR="00253EB7">
        <w:rPr>
          <w:sz w:val="22"/>
          <w:szCs w:val="22"/>
          <w:shd w:val="clear" w:color="auto" w:fill="FFFFFF"/>
        </w:rPr>
        <w:t>’s</w:t>
      </w:r>
      <w:r w:rsidR="00253EB7" w:rsidRPr="00EA60D0">
        <w:rPr>
          <w:sz w:val="22"/>
          <w:szCs w:val="22"/>
          <w:shd w:val="clear" w:color="auto" w:fill="FFFFFF"/>
        </w:rPr>
        <w:t xml:space="preserve"> fail</w:t>
      </w:r>
      <w:r w:rsidR="00253EB7">
        <w:rPr>
          <w:sz w:val="22"/>
          <w:szCs w:val="22"/>
          <w:shd w:val="clear" w:color="auto" w:fill="FFFFFF"/>
        </w:rPr>
        <w:t>ure</w:t>
      </w:r>
      <w:r w:rsidR="00253EB7" w:rsidRPr="00EA60D0">
        <w:rPr>
          <w:sz w:val="22"/>
          <w:szCs w:val="22"/>
          <w:shd w:val="clear" w:color="auto" w:fill="FFFFFF"/>
        </w:rPr>
        <w:t xml:space="preserve"> to schedule an installation within </w:t>
      </w:r>
      <w:r w:rsidR="00FC62F3">
        <w:rPr>
          <w:sz w:val="22"/>
          <w:szCs w:val="22"/>
          <w:shd w:val="clear" w:color="auto" w:fill="FFFFFF"/>
        </w:rPr>
        <w:t>ten</w:t>
      </w:r>
      <w:r w:rsidR="00253EB7" w:rsidRPr="00EA60D0">
        <w:rPr>
          <w:sz w:val="22"/>
          <w:szCs w:val="22"/>
          <w:shd w:val="clear" w:color="auto" w:fill="FFFFFF"/>
        </w:rPr>
        <w:t xml:space="preserve"> business days of a request for service (or failed to perform the install within </w:t>
      </w:r>
      <w:r w:rsidR="00FC62F3">
        <w:rPr>
          <w:sz w:val="22"/>
          <w:szCs w:val="22"/>
          <w:shd w:val="clear" w:color="auto" w:fill="FFFFFF"/>
        </w:rPr>
        <w:t>ten</w:t>
      </w:r>
      <w:r w:rsidR="00253EB7" w:rsidRPr="00EA60D0">
        <w:rPr>
          <w:sz w:val="22"/>
          <w:szCs w:val="22"/>
          <w:shd w:val="clear" w:color="auto" w:fill="FFFFFF"/>
        </w:rPr>
        <w:t xml:space="preserve"> business days of a request for service).</w:t>
      </w:r>
      <w:r w:rsidR="00253EB7">
        <w:rPr>
          <w:sz w:val="22"/>
          <w:szCs w:val="22"/>
          <w:shd w:val="clear" w:color="auto" w:fill="FFFFFF"/>
        </w:rPr>
        <w:t xml:space="preserve">  Challengers may also dispute the availability of mobile broadband service using on-the-ground speed test data submitted using the FCC’s Speed Test app (</w:t>
      </w:r>
      <w:r w:rsidR="00253EB7" w:rsidRPr="007A5956">
        <w:rPr>
          <w:sz w:val="22"/>
          <w:szCs w:val="22"/>
          <w:shd w:val="clear" w:color="auto" w:fill="FFFFFF"/>
        </w:rPr>
        <w:t>or another third-party speed test app approved by the FCC’s Office of Engineering and Technology</w:t>
      </w:r>
      <w:r w:rsidR="00253EB7">
        <w:rPr>
          <w:sz w:val="22"/>
          <w:szCs w:val="22"/>
          <w:shd w:val="clear" w:color="auto" w:fill="FFFFFF"/>
        </w:rPr>
        <w:t xml:space="preserve">), or for governmental and other entities, </w:t>
      </w:r>
      <w:r w:rsidR="00253EB7" w:rsidRPr="007A5956">
        <w:rPr>
          <w:sz w:val="22"/>
          <w:szCs w:val="22"/>
          <w:shd w:val="clear" w:color="auto" w:fill="FFFFFF"/>
        </w:rPr>
        <w:t xml:space="preserve">speed test data collected using their own hardware and software </w:t>
      </w:r>
      <w:r w:rsidR="00253EB7">
        <w:rPr>
          <w:sz w:val="22"/>
          <w:szCs w:val="22"/>
          <w:shd w:val="clear" w:color="auto" w:fill="FFFFFF"/>
        </w:rPr>
        <w:t>(</w:t>
      </w:r>
      <w:r w:rsidR="00253EB7" w:rsidRPr="007A5956">
        <w:rPr>
          <w:sz w:val="22"/>
          <w:szCs w:val="22"/>
          <w:shd w:val="clear" w:color="auto" w:fill="FFFFFF"/>
        </w:rPr>
        <w:t xml:space="preserve">as long as such information meets the same data </w:t>
      </w:r>
      <w:r w:rsidR="00253EB7">
        <w:rPr>
          <w:sz w:val="22"/>
          <w:szCs w:val="22"/>
          <w:shd w:val="clear" w:color="auto" w:fill="FFFFFF"/>
        </w:rPr>
        <w:t>metrics required to submit on-the-ground speed tests to the Commission)</w:t>
      </w:r>
      <w:r w:rsidR="00253EB7" w:rsidRPr="007A5956">
        <w:rPr>
          <w:sz w:val="22"/>
          <w:szCs w:val="22"/>
          <w:shd w:val="clear" w:color="auto" w:fill="FFFFFF"/>
        </w:rPr>
        <w:t>.</w:t>
      </w:r>
    </w:p>
    <w:p w14:paraId="2D7165D7" w14:textId="2376AFE0" w:rsidR="007A17A8" w:rsidRPr="00A4645B" w:rsidRDefault="007A17A8" w:rsidP="00030585">
      <w:pPr>
        <w:pStyle w:val="Heading2"/>
      </w:pPr>
      <w:bookmarkStart w:id="31" w:name="_Toc114492058"/>
      <w:bookmarkStart w:id="32" w:name="_Toc115353761"/>
      <w:r>
        <w:t>Telehealth on Tribal Lands</w:t>
      </w:r>
      <w:bookmarkEnd w:id="31"/>
      <w:bookmarkEnd w:id="32"/>
    </w:p>
    <w:p w14:paraId="5FCD87F1" w14:textId="1B493B5C" w:rsidR="00E71CE0" w:rsidRPr="006A30D8" w:rsidRDefault="00E71CE0" w:rsidP="005B0341">
      <w:pPr>
        <w:pStyle w:val="NormalWeb"/>
        <w:shd w:val="clear" w:color="auto" w:fill="FFFFFF"/>
        <w:spacing w:before="120" w:beforeAutospacing="0" w:after="120" w:afterAutospacing="0"/>
        <w:ind w:firstLine="720"/>
        <w:rPr>
          <w:sz w:val="22"/>
          <w:szCs w:val="22"/>
          <w:shd w:val="clear" w:color="auto" w:fill="FFFFFF"/>
        </w:rPr>
      </w:pPr>
      <w:r w:rsidRPr="00DF7E98">
        <w:rPr>
          <w:sz w:val="22"/>
          <w:szCs w:val="22"/>
          <w:shd w:val="clear" w:color="auto" w:fill="FFFFFF"/>
        </w:rPr>
        <w:t xml:space="preserve">Telehealth on </w:t>
      </w:r>
      <w:r w:rsidR="002065B5">
        <w:rPr>
          <w:sz w:val="22"/>
          <w:szCs w:val="22"/>
          <w:shd w:val="clear" w:color="auto" w:fill="FFFFFF"/>
        </w:rPr>
        <w:t>T</w:t>
      </w:r>
      <w:r w:rsidRPr="00DF7E98">
        <w:rPr>
          <w:sz w:val="22"/>
          <w:szCs w:val="22"/>
          <w:shd w:val="clear" w:color="auto" w:fill="FFFFFF"/>
        </w:rPr>
        <w:t>ribal lands largely focus</w:t>
      </w:r>
      <w:r w:rsidR="00DF7E98" w:rsidRPr="00DF7E98">
        <w:rPr>
          <w:sz w:val="22"/>
          <w:szCs w:val="22"/>
          <w:shd w:val="clear" w:color="auto" w:fill="FFFFFF"/>
        </w:rPr>
        <w:t>es</w:t>
      </w:r>
      <w:r w:rsidRPr="00DF7E98">
        <w:rPr>
          <w:sz w:val="22"/>
          <w:szCs w:val="22"/>
          <w:shd w:val="clear" w:color="auto" w:fill="FFFFFF"/>
        </w:rPr>
        <w:t xml:space="preserve"> on “improving access to care for</w:t>
      </w:r>
      <w:r w:rsidR="007E2B37">
        <w:rPr>
          <w:sz w:val="22"/>
          <w:szCs w:val="22"/>
          <w:shd w:val="clear" w:color="auto" w:fill="FFFFFF"/>
        </w:rPr>
        <w:t xml:space="preserve"> </w:t>
      </w:r>
      <w:hyperlink r:id="rId12" w:history="1">
        <w:r w:rsidRPr="00DF7E98">
          <w:rPr>
            <w:rStyle w:val="Hyperlink"/>
            <w:color w:val="auto"/>
            <w:sz w:val="22"/>
            <w:szCs w:val="22"/>
            <w:u w:val="none"/>
            <w:shd w:val="clear" w:color="auto" w:fill="FFFFFF"/>
          </w:rPr>
          <w:t>rural tribal communities</w:t>
        </w:r>
      </w:hyperlink>
      <w:r w:rsidRPr="00DF7E98">
        <w:rPr>
          <w:sz w:val="22"/>
          <w:szCs w:val="22"/>
          <w:shd w:val="clear" w:color="auto" w:fill="FFFFFF"/>
        </w:rPr>
        <w:t>, which can face persistent barriers to care related to geographic isolation and health workforce shortages.”</w:t>
      </w:r>
      <w:r w:rsidR="00FE6265" w:rsidRPr="00DF7E98">
        <w:rPr>
          <w:rStyle w:val="FootnoteReference"/>
          <w:sz w:val="22"/>
          <w:szCs w:val="22"/>
          <w:shd w:val="clear" w:color="auto" w:fill="FFFFFF"/>
        </w:rPr>
        <w:footnoteReference w:id="46"/>
      </w:r>
      <w:r w:rsidR="00BA17F8" w:rsidRPr="00DF7E98">
        <w:rPr>
          <w:sz w:val="22"/>
          <w:szCs w:val="22"/>
          <w:shd w:val="clear" w:color="auto" w:fill="FFFFFF"/>
        </w:rPr>
        <w:t xml:space="preserve">  </w:t>
      </w:r>
      <w:r w:rsidR="003109FC" w:rsidRPr="00DF7E98">
        <w:rPr>
          <w:sz w:val="22"/>
          <w:szCs w:val="22"/>
          <w:shd w:val="clear" w:color="auto" w:fill="FFFFFF"/>
        </w:rPr>
        <w:t>T</w:t>
      </w:r>
      <w:r w:rsidR="00BA17F8" w:rsidRPr="00DF7E98">
        <w:rPr>
          <w:sz w:val="22"/>
          <w:szCs w:val="22"/>
          <w:shd w:val="clear" w:color="auto" w:fill="FFFFFF"/>
        </w:rPr>
        <w:t xml:space="preserve">here is a </w:t>
      </w:r>
      <w:r w:rsidR="00BA17F8" w:rsidRPr="00DF7E98">
        <w:rPr>
          <w:sz w:val="22"/>
          <w:szCs w:val="22"/>
        </w:rPr>
        <w:t>lower life expectancy and disproportionate disease burden</w:t>
      </w:r>
      <w:r w:rsidR="003109FC" w:rsidRPr="00DF7E98">
        <w:rPr>
          <w:sz w:val="22"/>
          <w:szCs w:val="22"/>
        </w:rPr>
        <w:t xml:space="preserve"> in these communities</w:t>
      </w:r>
      <w:r w:rsidR="00BA17F8" w:rsidRPr="00DF7E98">
        <w:rPr>
          <w:sz w:val="22"/>
          <w:szCs w:val="22"/>
        </w:rPr>
        <w:t xml:space="preserve"> that can be broadly traced to economic and social challenges</w:t>
      </w:r>
      <w:r w:rsidR="003109FC" w:rsidRPr="00DF7E98">
        <w:rPr>
          <w:sz w:val="22"/>
          <w:szCs w:val="22"/>
        </w:rPr>
        <w:t>, which</w:t>
      </w:r>
      <w:r w:rsidR="00BA17F8" w:rsidRPr="00DF7E98">
        <w:rPr>
          <w:sz w:val="22"/>
          <w:szCs w:val="22"/>
        </w:rPr>
        <w:t xml:space="preserve"> often block access to healthcar</w:t>
      </w:r>
      <w:r w:rsidR="003109FC" w:rsidRPr="00DF7E98">
        <w:rPr>
          <w:sz w:val="22"/>
          <w:szCs w:val="22"/>
        </w:rPr>
        <w:t>e</w:t>
      </w:r>
      <w:r w:rsidR="00BA17F8" w:rsidRPr="00DF7E98">
        <w:rPr>
          <w:sz w:val="22"/>
          <w:szCs w:val="22"/>
        </w:rPr>
        <w:t>.</w:t>
      </w:r>
      <w:r w:rsidR="00717DEF">
        <w:rPr>
          <w:sz w:val="22"/>
          <w:szCs w:val="22"/>
        </w:rPr>
        <w:t xml:space="preserve">  </w:t>
      </w:r>
      <w:r w:rsidR="00717DEF" w:rsidRPr="00DF7E98">
        <w:rPr>
          <w:sz w:val="22"/>
          <w:szCs w:val="22"/>
        </w:rPr>
        <w:t>“Telehealth can help reduce these socioeconomic burdens and health disparities by providing a more convenient, lower-cost model of care.”</w:t>
      </w:r>
      <w:r w:rsidR="003109FC" w:rsidRPr="00DF7E98">
        <w:rPr>
          <w:rStyle w:val="FootnoteReference"/>
          <w:sz w:val="22"/>
          <w:szCs w:val="22"/>
        </w:rPr>
        <w:footnoteReference w:id="47"/>
      </w:r>
      <w:r w:rsidR="00DF7E98" w:rsidRPr="00DF7E98">
        <w:rPr>
          <w:sz w:val="22"/>
          <w:szCs w:val="22"/>
        </w:rPr>
        <w:t xml:space="preserve">  Indeed, </w:t>
      </w:r>
      <w:r w:rsidR="005E582F" w:rsidRPr="00DF7E98">
        <w:rPr>
          <w:sz w:val="22"/>
          <w:szCs w:val="22"/>
          <w:shd w:val="clear" w:color="auto" w:fill="FFFFFF"/>
        </w:rPr>
        <w:t>“</w:t>
      </w:r>
      <w:r w:rsidR="00DF7E98">
        <w:rPr>
          <w:sz w:val="22"/>
          <w:szCs w:val="22"/>
          <w:shd w:val="clear" w:color="auto" w:fill="FFFFFF"/>
        </w:rPr>
        <w:t>[t]</w:t>
      </w:r>
      <w:r w:rsidR="005E582F" w:rsidRPr="00DF7E98">
        <w:rPr>
          <w:sz w:val="22"/>
          <w:szCs w:val="22"/>
          <w:shd w:val="clear" w:color="auto" w:fill="FFFFFF"/>
        </w:rPr>
        <w:t>he Indian Health Service (IHS)</w:t>
      </w:r>
      <w:r w:rsidR="004B6308">
        <w:rPr>
          <w:rStyle w:val="FootnoteReference"/>
          <w:sz w:val="22"/>
          <w:szCs w:val="22"/>
          <w:shd w:val="clear" w:color="auto" w:fill="FFFFFF"/>
        </w:rPr>
        <w:footnoteReference w:id="48"/>
      </w:r>
      <w:r w:rsidR="005E582F" w:rsidRPr="00DF7E98">
        <w:rPr>
          <w:sz w:val="22"/>
          <w:szCs w:val="22"/>
          <w:shd w:val="clear" w:color="auto" w:fill="FFFFFF"/>
        </w:rPr>
        <w:t xml:space="preserve"> finds telemedicine to be one of the best ways to get health care services to the people and places where they are needed most. </w:t>
      </w:r>
      <w:r w:rsidR="00DF7E98">
        <w:rPr>
          <w:sz w:val="22"/>
          <w:szCs w:val="22"/>
          <w:shd w:val="clear" w:color="auto" w:fill="FFFFFF"/>
        </w:rPr>
        <w:t xml:space="preserve"> </w:t>
      </w:r>
      <w:r w:rsidR="005E582F" w:rsidRPr="00DF7E98">
        <w:rPr>
          <w:sz w:val="22"/>
          <w:szCs w:val="22"/>
          <w:shd w:val="clear" w:color="auto" w:fill="FFFFFF"/>
        </w:rPr>
        <w:t>IHS collaborates with tribal leaders to deploy telemedicine services that respond to patient and community need.”</w:t>
      </w:r>
      <w:r w:rsidR="005E582F" w:rsidRPr="00DF7E98">
        <w:rPr>
          <w:rStyle w:val="FootnoteReference"/>
          <w:sz w:val="22"/>
          <w:szCs w:val="22"/>
          <w:shd w:val="clear" w:color="auto" w:fill="FFFFFF"/>
        </w:rPr>
        <w:footnoteReference w:id="49"/>
      </w:r>
      <w:r w:rsidR="005E582F" w:rsidRPr="00DF7E98">
        <w:rPr>
          <w:sz w:val="22"/>
          <w:szCs w:val="22"/>
          <w:shd w:val="clear" w:color="auto" w:fill="FFFFFF"/>
        </w:rPr>
        <w:t xml:space="preserve"> </w:t>
      </w:r>
      <w:r w:rsidRPr="00DF7E98">
        <w:rPr>
          <w:sz w:val="22"/>
          <w:szCs w:val="22"/>
        </w:rPr>
        <w:t xml:space="preserve"> I</w:t>
      </w:r>
      <w:r w:rsidR="00DF7E98">
        <w:rPr>
          <w:sz w:val="22"/>
          <w:szCs w:val="22"/>
        </w:rPr>
        <w:t>H</w:t>
      </w:r>
      <w:r w:rsidRPr="00DF7E98">
        <w:rPr>
          <w:sz w:val="22"/>
          <w:szCs w:val="22"/>
        </w:rPr>
        <w:t>S believes that telehealth can reduce health disparities in tribal communities</w:t>
      </w:r>
      <w:r w:rsidR="00DF7E98">
        <w:rPr>
          <w:sz w:val="22"/>
          <w:szCs w:val="22"/>
        </w:rPr>
        <w:t xml:space="preserve"> by</w:t>
      </w:r>
      <w:r w:rsidR="004A6B34">
        <w:rPr>
          <w:sz w:val="22"/>
          <w:szCs w:val="22"/>
        </w:rPr>
        <w:t xml:space="preserve"> </w:t>
      </w:r>
      <w:r w:rsidRPr="00DF7E98">
        <w:rPr>
          <w:sz w:val="22"/>
          <w:szCs w:val="22"/>
        </w:rPr>
        <w:t>provid</w:t>
      </w:r>
      <w:r w:rsidR="00DF7E98">
        <w:rPr>
          <w:sz w:val="22"/>
          <w:szCs w:val="22"/>
        </w:rPr>
        <w:t>ing</w:t>
      </w:r>
      <w:r w:rsidRPr="00DF7E98">
        <w:rPr>
          <w:sz w:val="22"/>
          <w:szCs w:val="22"/>
        </w:rPr>
        <w:t xml:space="preserve"> access to care that </w:t>
      </w:r>
      <w:r w:rsidR="00DF7E98">
        <w:rPr>
          <w:sz w:val="22"/>
          <w:szCs w:val="22"/>
        </w:rPr>
        <w:t>may have been</w:t>
      </w:r>
      <w:r w:rsidR="00DF7E98" w:rsidRPr="00DF7E98">
        <w:rPr>
          <w:sz w:val="22"/>
          <w:szCs w:val="22"/>
        </w:rPr>
        <w:t xml:space="preserve"> </w:t>
      </w:r>
      <w:r w:rsidRPr="00DF7E98">
        <w:rPr>
          <w:sz w:val="22"/>
          <w:szCs w:val="22"/>
        </w:rPr>
        <w:t>previously unavailable at a local clinic, reduc</w:t>
      </w:r>
      <w:r w:rsidR="00DF7E98">
        <w:rPr>
          <w:sz w:val="22"/>
          <w:szCs w:val="22"/>
        </w:rPr>
        <w:t>ing</w:t>
      </w:r>
      <w:r w:rsidRPr="00DF7E98">
        <w:rPr>
          <w:sz w:val="22"/>
          <w:szCs w:val="22"/>
        </w:rPr>
        <w:t xml:space="preserve"> travel costs for appointments, </w:t>
      </w:r>
      <w:r w:rsidR="00DF7E98">
        <w:rPr>
          <w:sz w:val="22"/>
          <w:szCs w:val="22"/>
        </w:rPr>
        <w:t>taking</w:t>
      </w:r>
      <w:r w:rsidR="00DF7E98" w:rsidRPr="00DF7E98">
        <w:rPr>
          <w:sz w:val="22"/>
          <w:szCs w:val="22"/>
        </w:rPr>
        <w:t xml:space="preserve"> </w:t>
      </w:r>
      <w:r w:rsidRPr="00DF7E98">
        <w:rPr>
          <w:sz w:val="22"/>
          <w:szCs w:val="22"/>
        </w:rPr>
        <w:t xml:space="preserve">less time away from </w:t>
      </w:r>
      <w:r w:rsidRPr="00CC049A">
        <w:rPr>
          <w:sz w:val="22"/>
          <w:szCs w:val="22"/>
        </w:rPr>
        <w:t>work or family, and</w:t>
      </w:r>
      <w:r w:rsidR="00DF7E98" w:rsidRPr="00CC049A">
        <w:rPr>
          <w:sz w:val="22"/>
          <w:szCs w:val="22"/>
        </w:rPr>
        <w:t xml:space="preserve"> providing</w:t>
      </w:r>
      <w:r w:rsidRPr="00CC049A">
        <w:rPr>
          <w:sz w:val="22"/>
          <w:szCs w:val="22"/>
        </w:rPr>
        <w:t xml:space="preserve"> the potential for in-home appointments.</w:t>
      </w:r>
    </w:p>
    <w:p w14:paraId="5C637118" w14:textId="4FFCD785" w:rsidR="00CC049A" w:rsidRPr="00CC049A" w:rsidRDefault="00105BAA" w:rsidP="00D51E99">
      <w:pPr>
        <w:pStyle w:val="BodyText"/>
        <w:spacing w:before="120" w:after="120"/>
        <w:ind w:left="0" w:firstLine="720"/>
        <w:rPr>
          <w:spacing w:val="7"/>
          <w:shd w:val="clear" w:color="auto" w:fill="FFFFFF"/>
        </w:rPr>
      </w:pPr>
      <w:bookmarkStart w:id="33" w:name="_Hlk116561791"/>
      <w:r>
        <w:rPr>
          <w:shd w:val="clear" w:color="auto" w:fill="FFFFFF"/>
        </w:rPr>
        <w:t>T</w:t>
      </w:r>
      <w:r w:rsidR="00965431">
        <w:rPr>
          <w:shd w:val="clear" w:color="auto" w:fill="FFFFFF"/>
        </w:rPr>
        <w:t xml:space="preserve">he </w:t>
      </w:r>
      <w:r w:rsidR="004967D4">
        <w:rPr>
          <w:shd w:val="clear" w:color="auto" w:fill="FFFFFF"/>
        </w:rPr>
        <w:t>FCC</w:t>
      </w:r>
      <w:r w:rsidR="000F69C7">
        <w:rPr>
          <w:shd w:val="clear" w:color="auto" w:fill="FFFFFF"/>
        </w:rPr>
        <w:t>’s</w:t>
      </w:r>
      <w:r>
        <w:rPr>
          <w:shd w:val="clear" w:color="auto" w:fill="FFFFFF"/>
        </w:rPr>
        <w:t xml:space="preserve"> </w:t>
      </w:r>
      <w:r w:rsidR="00965431">
        <w:rPr>
          <w:shd w:val="clear" w:color="auto" w:fill="FFFFFF"/>
        </w:rPr>
        <w:t>COVID-19 Telehealth Program</w:t>
      </w:r>
      <w:r w:rsidR="000F69C7">
        <w:rPr>
          <w:shd w:val="clear" w:color="auto" w:fill="FFFFFF"/>
        </w:rPr>
        <w:t xml:space="preserve"> </w:t>
      </w:r>
      <w:r w:rsidR="000F69C7">
        <w:t>targeted funding towards “areas that were hardest hit by the COVID-19 pandemic</w:t>
      </w:r>
      <w:r w:rsidR="000F69C7" w:rsidRPr="006F4216">
        <w:t>,”</w:t>
      </w:r>
      <w:r w:rsidR="000F69C7">
        <w:rPr>
          <w:rStyle w:val="FootnoteReference"/>
          <w:shd w:val="clear" w:color="auto" w:fill="FFFFFF"/>
        </w:rPr>
        <w:footnoteReference w:id="50"/>
      </w:r>
      <w:r w:rsidR="000F69C7">
        <w:t xml:space="preserve"> and for Round 2, the Commission expressly</w:t>
      </w:r>
      <w:r w:rsidR="004A6B34" w:rsidRPr="00CC049A">
        <w:rPr>
          <w:shd w:val="clear" w:color="auto" w:fill="FFFFFF"/>
        </w:rPr>
        <w:t xml:space="preserve"> “aimed to prioritize applications to serve sites located in Tribal areas given the obstacles to broadband deployment that Tribal lands face and the significantly higher risk from the COVID-19 pandemic.”</w:t>
      </w:r>
      <w:r w:rsidR="00CF545C" w:rsidRPr="00CC049A">
        <w:rPr>
          <w:rStyle w:val="FootnoteReference"/>
          <w:shd w:val="clear" w:color="auto" w:fill="FFFFFF"/>
        </w:rPr>
        <w:footnoteReference w:id="51"/>
      </w:r>
      <w:r w:rsidR="004A6B34" w:rsidRPr="00CC049A">
        <w:rPr>
          <w:shd w:val="clear" w:color="auto" w:fill="FFFFFF"/>
        </w:rPr>
        <w:t xml:space="preserve"> </w:t>
      </w:r>
      <w:r w:rsidR="00D17F98" w:rsidRPr="00CC049A">
        <w:rPr>
          <w:shd w:val="clear" w:color="auto" w:fill="FFFFFF"/>
        </w:rPr>
        <w:t xml:space="preserve"> </w:t>
      </w:r>
      <w:r w:rsidR="00051006" w:rsidRPr="00CC049A">
        <w:rPr>
          <w:shd w:val="clear" w:color="auto" w:fill="FFFFFF"/>
        </w:rPr>
        <w:t xml:space="preserve">Additionally, </w:t>
      </w:r>
      <w:r w:rsidR="00D17F98" w:rsidRPr="00CC049A">
        <w:rPr>
          <w:spacing w:val="7"/>
          <w:shd w:val="clear" w:color="auto" w:fill="FFFFFF"/>
        </w:rPr>
        <w:t>IHS received more than $9 billion in COVID-19 relief funding, some of which w</w:t>
      </w:r>
      <w:r w:rsidR="00904FF1">
        <w:rPr>
          <w:spacing w:val="7"/>
          <w:shd w:val="clear" w:color="auto" w:fill="FFFFFF"/>
        </w:rPr>
        <w:t>as</w:t>
      </w:r>
      <w:r w:rsidR="00D17F98" w:rsidRPr="00CC049A">
        <w:rPr>
          <w:spacing w:val="7"/>
          <w:shd w:val="clear" w:color="auto" w:fill="FFFFFF"/>
        </w:rPr>
        <w:t xml:space="preserve"> used to address certain longstanding, systemwide needs, including replacing an obsolete electronic health records </w:t>
      </w:r>
      <w:r w:rsidR="00D17F98" w:rsidRPr="00CC049A">
        <w:rPr>
          <w:spacing w:val="7"/>
          <w:shd w:val="clear" w:color="auto" w:fill="FFFFFF"/>
        </w:rPr>
        <w:lastRenderedPageBreak/>
        <w:t>system</w:t>
      </w:r>
      <w:r w:rsidR="00AD0471" w:rsidRPr="00CC049A">
        <w:rPr>
          <w:spacing w:val="7"/>
          <w:shd w:val="clear" w:color="auto" w:fill="FFFFFF"/>
        </w:rPr>
        <w:t xml:space="preserve"> and</w:t>
      </w:r>
      <w:r w:rsidR="00D17F98" w:rsidRPr="00CC049A">
        <w:rPr>
          <w:spacing w:val="7"/>
          <w:shd w:val="clear" w:color="auto" w:fill="FFFFFF"/>
        </w:rPr>
        <w:t xml:space="preserve"> implementing a clinical video telehealth system</w:t>
      </w:r>
      <w:r w:rsidR="00AD0471" w:rsidRPr="00CC049A">
        <w:rPr>
          <w:spacing w:val="7"/>
          <w:shd w:val="clear" w:color="auto" w:fill="FFFFFF"/>
        </w:rPr>
        <w:t>.</w:t>
      </w:r>
      <w:r w:rsidR="00AD0471" w:rsidRPr="00CC049A">
        <w:rPr>
          <w:rStyle w:val="FootnoteReference"/>
          <w:spacing w:val="7"/>
          <w:shd w:val="clear" w:color="auto" w:fill="FFFFFF"/>
        </w:rPr>
        <w:footnoteReference w:id="52"/>
      </w:r>
      <w:r w:rsidR="008F537B" w:rsidRPr="00CC049A">
        <w:rPr>
          <w:spacing w:val="7"/>
          <w:shd w:val="clear" w:color="auto" w:fill="FFFFFF"/>
        </w:rPr>
        <w:t xml:space="preserve">  However, </w:t>
      </w:r>
      <w:r w:rsidR="008F537B" w:rsidRPr="00CC049A">
        <w:t xml:space="preserve">broadband access for people living on </w:t>
      </w:r>
      <w:r w:rsidR="00825A7F">
        <w:t>T</w:t>
      </w:r>
      <w:r w:rsidR="008F537B" w:rsidRPr="00CC049A">
        <w:t>ribal lands continue</w:t>
      </w:r>
      <w:r w:rsidR="002065B5">
        <w:t>s</w:t>
      </w:r>
      <w:r w:rsidR="008F537B" w:rsidRPr="00CC049A">
        <w:t xml:space="preserve"> to lag behind the rest of the country, perpetuating the digital divide</w:t>
      </w:r>
      <w:r w:rsidR="00E4490F" w:rsidRPr="00CC049A">
        <w:t>.</w:t>
      </w:r>
      <w:r w:rsidR="00280E33" w:rsidRPr="00CC049A">
        <w:rPr>
          <w:rStyle w:val="FootnoteReference"/>
        </w:rPr>
        <w:footnoteReference w:id="53"/>
      </w:r>
      <w:r w:rsidR="00E4490F" w:rsidRPr="00CC049A">
        <w:t xml:space="preserve"> </w:t>
      </w:r>
      <w:r w:rsidR="00CC049A" w:rsidRPr="00CC049A">
        <w:t xml:space="preserve"> </w:t>
      </w:r>
      <w:r w:rsidR="00CC049A" w:rsidRPr="00CC049A">
        <w:rPr>
          <w:shd w:val="clear" w:color="auto" w:fill="FFFFFF"/>
        </w:rPr>
        <w:t xml:space="preserve">Testifying before the Senate Indian Affairs Committee, IHS Chief Medical Officer Michael </w:t>
      </w:r>
      <w:proofErr w:type="spellStart"/>
      <w:r w:rsidR="00CC049A" w:rsidRPr="00CC049A">
        <w:rPr>
          <w:shd w:val="clear" w:color="auto" w:fill="FFFFFF"/>
        </w:rPr>
        <w:t>Toedt</w:t>
      </w:r>
      <w:proofErr w:type="spellEnd"/>
      <w:r w:rsidR="00CC049A" w:rsidRPr="00CC049A">
        <w:rPr>
          <w:shd w:val="clear" w:color="auto" w:fill="FFFFFF"/>
        </w:rPr>
        <w:t xml:space="preserve">, MD, stated, </w:t>
      </w:r>
      <w:r w:rsidR="00E4490F" w:rsidRPr="00CC049A">
        <w:rPr>
          <w:shd w:val="clear" w:color="auto" w:fill="FFFFFF"/>
        </w:rPr>
        <w:t>“</w:t>
      </w:r>
      <w:r w:rsidR="00825A7F">
        <w:rPr>
          <w:shd w:val="clear" w:color="auto" w:fill="FFFFFF"/>
        </w:rPr>
        <w:t>[t]</w:t>
      </w:r>
      <w:r w:rsidR="00E4490F" w:rsidRPr="00CC049A">
        <w:rPr>
          <w:shd w:val="clear" w:color="auto" w:fill="FFFFFF"/>
        </w:rPr>
        <w:t>he pandemic highlighted the challenges and risks of our current IT architecture, which created significant barriers to the rapid response needed for COVID-19</w:t>
      </w:r>
      <w:r w:rsidR="00CC049A" w:rsidRPr="00CC049A">
        <w:rPr>
          <w:shd w:val="clear" w:color="auto" w:fill="FFFFFF"/>
        </w:rPr>
        <w:t xml:space="preserve"> …</w:t>
      </w:r>
      <w:r w:rsidR="00E4490F" w:rsidRPr="00CC049A">
        <w:rPr>
          <w:shd w:val="clear" w:color="auto" w:fill="FFFFFF"/>
        </w:rPr>
        <w:t xml:space="preserve"> In terms of telehealth, we’ve had successes by expanding our vid</w:t>
      </w:r>
      <w:r w:rsidR="002065B5">
        <w:rPr>
          <w:shd w:val="clear" w:color="auto" w:fill="FFFFFF"/>
        </w:rPr>
        <w:t>e</w:t>
      </w:r>
      <w:r w:rsidR="00E4490F" w:rsidRPr="00CC049A">
        <w:rPr>
          <w:shd w:val="clear" w:color="auto" w:fill="FFFFFF"/>
        </w:rPr>
        <w:t xml:space="preserve">oconferencing system and were able to see more patients. </w:t>
      </w:r>
      <w:r w:rsidR="00CC049A" w:rsidRPr="00CC049A">
        <w:rPr>
          <w:shd w:val="clear" w:color="auto" w:fill="FFFFFF"/>
        </w:rPr>
        <w:t xml:space="preserve"> </w:t>
      </w:r>
      <w:r w:rsidR="00E4490F" w:rsidRPr="00CC049A">
        <w:rPr>
          <w:shd w:val="clear" w:color="auto" w:fill="FFFFFF"/>
        </w:rPr>
        <w:t xml:space="preserve">But the vast majority of our telehealth visits were by telephone rather than video. </w:t>
      </w:r>
      <w:r w:rsidR="00CC049A" w:rsidRPr="00CC049A">
        <w:rPr>
          <w:shd w:val="clear" w:color="auto" w:fill="FFFFFF"/>
        </w:rPr>
        <w:t xml:space="preserve"> </w:t>
      </w:r>
      <w:r w:rsidR="00E4490F" w:rsidRPr="00CC049A">
        <w:rPr>
          <w:shd w:val="clear" w:color="auto" w:fill="FFFFFF"/>
        </w:rPr>
        <w:t xml:space="preserve">And that’s because of that last mile. </w:t>
      </w:r>
      <w:r w:rsidR="00CC049A" w:rsidRPr="00CC049A">
        <w:rPr>
          <w:shd w:val="clear" w:color="auto" w:fill="FFFFFF"/>
        </w:rPr>
        <w:t xml:space="preserve"> </w:t>
      </w:r>
      <w:r w:rsidR="00E4490F" w:rsidRPr="00CC049A">
        <w:rPr>
          <w:shd w:val="clear" w:color="auto" w:fill="FFFFFF"/>
        </w:rPr>
        <w:t>The person on the other end doesn’t necessarily have the bandwidth capability to do a telehealth visit.”</w:t>
      </w:r>
      <w:r w:rsidR="00CC049A">
        <w:rPr>
          <w:rStyle w:val="FootnoteReference"/>
          <w:shd w:val="clear" w:color="auto" w:fill="FFFFFF"/>
        </w:rPr>
        <w:footnoteReference w:id="54"/>
      </w:r>
    </w:p>
    <w:p w14:paraId="09E4D20B" w14:textId="381BA27A" w:rsidR="00D460BE" w:rsidRDefault="0043327E" w:rsidP="00D51E99">
      <w:pPr>
        <w:pStyle w:val="BodyText"/>
        <w:spacing w:before="120" w:after="120"/>
        <w:ind w:left="0" w:firstLine="720"/>
      </w:pPr>
      <w:r>
        <w:t>Broadband</w:t>
      </w:r>
      <w:r>
        <w:rPr>
          <w:spacing w:val="-2"/>
        </w:rPr>
        <w:t xml:space="preserve"> </w:t>
      </w:r>
      <w:r>
        <w:t>deployment</w:t>
      </w:r>
      <w:r>
        <w:rPr>
          <w:spacing w:val="-1"/>
        </w:rPr>
        <w:t xml:space="preserve"> </w:t>
      </w:r>
      <w:r>
        <w:t>on Tribal</w:t>
      </w:r>
      <w:r>
        <w:rPr>
          <w:spacing w:val="-1"/>
        </w:rPr>
        <w:t xml:space="preserve"> </w:t>
      </w:r>
      <w:r>
        <w:t>lands</w:t>
      </w:r>
      <w:r>
        <w:rPr>
          <w:spacing w:val="-1"/>
        </w:rPr>
        <w:t xml:space="preserve"> </w:t>
      </w:r>
      <w:r>
        <w:t>continues</w:t>
      </w:r>
      <w:r>
        <w:rPr>
          <w:spacing w:val="-2"/>
        </w:rPr>
        <w:t xml:space="preserve"> </w:t>
      </w:r>
      <w:r>
        <w:t>to</w:t>
      </w:r>
      <w:r>
        <w:rPr>
          <w:spacing w:val="-2"/>
        </w:rPr>
        <w:t xml:space="preserve"> </w:t>
      </w:r>
      <w:r>
        <w:t>lag</w:t>
      </w:r>
      <w:r>
        <w:rPr>
          <w:spacing w:val="-2"/>
        </w:rPr>
        <w:t xml:space="preserve"> </w:t>
      </w:r>
      <w:r>
        <w:t>and</w:t>
      </w:r>
      <w:r>
        <w:rPr>
          <w:spacing w:val="-2"/>
        </w:rPr>
        <w:t xml:space="preserve"> </w:t>
      </w:r>
      <w:r>
        <w:t>is</w:t>
      </w:r>
      <w:r>
        <w:rPr>
          <w:spacing w:val="-2"/>
        </w:rPr>
        <w:t xml:space="preserve"> </w:t>
      </w:r>
      <w:r>
        <w:t>less</w:t>
      </w:r>
      <w:r>
        <w:rPr>
          <w:spacing w:val="-2"/>
        </w:rPr>
        <w:t xml:space="preserve"> </w:t>
      </w:r>
      <w:r>
        <w:t>robust</w:t>
      </w:r>
      <w:r>
        <w:rPr>
          <w:spacing w:val="-2"/>
        </w:rPr>
        <w:t xml:space="preserve"> </w:t>
      </w:r>
      <w:r>
        <w:t>than</w:t>
      </w:r>
      <w:r>
        <w:rPr>
          <w:spacing w:val="-2"/>
        </w:rPr>
        <w:t xml:space="preserve"> </w:t>
      </w:r>
      <w:r>
        <w:t>in</w:t>
      </w:r>
      <w:r>
        <w:rPr>
          <w:spacing w:val="-1"/>
        </w:rPr>
        <w:t xml:space="preserve"> </w:t>
      </w:r>
      <w:r>
        <w:t>most areas of the country.</w:t>
      </w:r>
      <w:r w:rsidRPr="00E4490F">
        <w:rPr>
          <w:spacing w:val="7"/>
          <w:shd w:val="clear" w:color="auto" w:fill="FFFFFF"/>
        </w:rPr>
        <w:t xml:space="preserve"> </w:t>
      </w:r>
      <w:r w:rsidR="00734C6A">
        <w:rPr>
          <w:spacing w:val="7"/>
          <w:shd w:val="clear" w:color="auto" w:fill="FFFFFF"/>
        </w:rPr>
        <w:t xml:space="preserve"> </w:t>
      </w:r>
      <w:r w:rsidR="00280E33" w:rsidRPr="00E4490F">
        <w:rPr>
          <w:spacing w:val="7"/>
          <w:shd w:val="clear" w:color="auto" w:fill="FFFFFF"/>
        </w:rPr>
        <w:t>“</w:t>
      </w:r>
      <w:r w:rsidR="00280E33" w:rsidRPr="00E4490F">
        <w:t>C</w:t>
      </w:r>
      <w:r w:rsidR="008F537B" w:rsidRPr="00E4490F">
        <w:t xml:space="preserve">onservative estimates show more than 18 percent of people living on </w:t>
      </w:r>
      <w:r w:rsidR="002065B5">
        <w:t>T</w:t>
      </w:r>
      <w:r w:rsidR="008F537B" w:rsidRPr="00E4490F">
        <w:t>ribal lands remain unserved by broadband as of 2020, compared to about 4 percent of people in non-tribal areas.</w:t>
      </w:r>
      <w:r w:rsidR="00280E33" w:rsidRPr="00E4490F">
        <w:t>”</w:t>
      </w:r>
      <w:r w:rsidR="007D3793">
        <w:rPr>
          <w:rStyle w:val="FootnoteReference"/>
        </w:rPr>
        <w:footnoteReference w:id="55"/>
      </w:r>
      <w:r w:rsidR="00280E33" w:rsidRPr="00E4490F">
        <w:t xml:space="preserve"> </w:t>
      </w:r>
      <w:r w:rsidR="007D3793">
        <w:t xml:space="preserve"> </w:t>
      </w:r>
      <w:r w:rsidR="00280E33" w:rsidRPr="00E4490F">
        <w:t>The fragmentation of federal programs and difficult application requirements</w:t>
      </w:r>
      <w:r w:rsidR="008F537B" w:rsidRPr="00E4490F">
        <w:t xml:space="preserve"> limit tribes’ and providers’ ability and interest in participating in federal broadband programs</w:t>
      </w:r>
      <w:r w:rsidR="00280E33" w:rsidRPr="00E4490F">
        <w:t xml:space="preserve">.  </w:t>
      </w:r>
      <w:r w:rsidR="008F537B" w:rsidRPr="00E4490F">
        <w:t xml:space="preserve">In addition, the American Broadband Initiative (ABI), </w:t>
      </w:r>
      <w:r w:rsidR="00127DBD" w:rsidRPr="00E4490F">
        <w:t xml:space="preserve">the </w:t>
      </w:r>
      <w:r w:rsidR="007D3793">
        <w:t xml:space="preserve">nation’s </w:t>
      </w:r>
      <w:r w:rsidR="00127DBD" w:rsidRPr="00E4490F">
        <w:t xml:space="preserve">primary broadband </w:t>
      </w:r>
      <w:r w:rsidR="007D3793">
        <w:t xml:space="preserve">coordination </w:t>
      </w:r>
      <w:r w:rsidR="00127DBD" w:rsidRPr="00E4490F">
        <w:t xml:space="preserve">body, </w:t>
      </w:r>
      <w:r w:rsidR="008F537B" w:rsidRPr="00E4490F">
        <w:t xml:space="preserve">lacks a framework for addressing </w:t>
      </w:r>
      <w:r w:rsidR="00825A7F">
        <w:t>T</w:t>
      </w:r>
      <w:r w:rsidR="008F537B" w:rsidRPr="00E4490F">
        <w:t xml:space="preserve">ribal barriers </w:t>
      </w:r>
      <w:r w:rsidR="00127DBD" w:rsidRPr="00E4490F">
        <w:t>and has admitted that they do not regularly</w:t>
      </w:r>
      <w:r w:rsidR="008F537B" w:rsidRPr="00E4490F">
        <w:t xml:space="preserve"> </w:t>
      </w:r>
      <w:r w:rsidR="00127DBD" w:rsidRPr="00E4490F">
        <w:t xml:space="preserve">address </w:t>
      </w:r>
      <w:r w:rsidR="00825A7F">
        <w:t>T</w:t>
      </w:r>
      <w:r w:rsidR="008F537B" w:rsidRPr="00E4490F">
        <w:t xml:space="preserve">ribal issues. </w:t>
      </w:r>
      <w:r w:rsidR="00D03079">
        <w:t xml:space="preserve"> GAO has </w:t>
      </w:r>
      <w:r w:rsidR="00127DBD" w:rsidRPr="00E4490F">
        <w:t>identified</w:t>
      </w:r>
      <w:r w:rsidR="008F537B" w:rsidRPr="00E4490F">
        <w:t xml:space="preserve"> </w:t>
      </w:r>
      <w:r w:rsidR="00D03079">
        <w:t xml:space="preserve">the </w:t>
      </w:r>
      <w:r w:rsidR="008F537B" w:rsidRPr="00E4490F">
        <w:t xml:space="preserve">need for increased focus within </w:t>
      </w:r>
      <w:r w:rsidR="00127DBD" w:rsidRPr="00E4490F">
        <w:t xml:space="preserve">the </w:t>
      </w:r>
      <w:r w:rsidR="008F537B" w:rsidRPr="00E4490F">
        <w:t xml:space="preserve">ABI on </w:t>
      </w:r>
      <w:r w:rsidR="00825A7F">
        <w:t>T</w:t>
      </w:r>
      <w:r w:rsidR="008F537B" w:rsidRPr="00E4490F">
        <w:t>ribal issues</w:t>
      </w:r>
      <w:r w:rsidR="00E4490F" w:rsidRPr="00E4490F">
        <w:t>.</w:t>
      </w:r>
    </w:p>
    <w:p w14:paraId="650D493D" w14:textId="16E92DDC" w:rsidR="00AA02D1" w:rsidRPr="00C72EB9" w:rsidRDefault="00AA02D1" w:rsidP="00D51E99">
      <w:pPr>
        <w:pStyle w:val="BodyText"/>
        <w:spacing w:before="120" w:after="120"/>
        <w:ind w:left="0" w:firstLine="720"/>
      </w:pPr>
      <w:r>
        <w:t>O</w:t>
      </w:r>
      <w:r w:rsidRPr="007F7C85">
        <w:t xml:space="preserve">n December 8, 2021, the FCC conducted </w:t>
      </w:r>
      <w:r w:rsidR="00FE2642">
        <w:t>a</w:t>
      </w:r>
      <w:r w:rsidR="00B105B2">
        <w:t>n inaugural</w:t>
      </w:r>
      <w:r w:rsidR="00FE2642">
        <w:t xml:space="preserve"> </w:t>
      </w:r>
      <w:r w:rsidRPr="007F7C85">
        <w:t>Broadband Data Collection Tribal Governments’ Technical Assistance Workshop to inform Tribal governments on the new methods and systems the FCC is implementing to collect and publish nationwide broadband</w:t>
      </w:r>
      <w:r w:rsidRPr="007F7C85">
        <w:rPr>
          <w:rFonts w:ascii="Open Sans" w:hAnsi="Open Sans" w:cs="Open Sans"/>
          <w:sz w:val="21"/>
          <w:szCs w:val="21"/>
        </w:rPr>
        <w:t xml:space="preserve"> </w:t>
      </w:r>
      <w:r w:rsidRPr="007F7C85">
        <w:t>availability data. “This Broadband Data Collection will include a process through which Tribal governments may submit their own primary broadband availability data to assist the Commission in verifying the accuracy of the data it collects from service providers and for inclusion on the maps that the Commission will make available to the public.  This process will enable Tribal entities (as well as federal, state, and local agencies) to help ensure that high-speed, reliable broadband service is available throughout the country.”</w:t>
      </w:r>
      <w:r>
        <w:rPr>
          <w:rStyle w:val="FootnoteReference"/>
        </w:rPr>
        <w:footnoteReference w:id="56"/>
      </w:r>
      <w:r w:rsidR="001679C5">
        <w:t xml:space="preserve">  Accordingly, the widespread deployment of broadband </w:t>
      </w:r>
      <w:r w:rsidR="001679C5" w:rsidRPr="005A6FFB">
        <w:t xml:space="preserve">services on Tribal lands will enable the additional use of </w:t>
      </w:r>
      <w:r w:rsidR="001679C5">
        <w:t>t</w:t>
      </w:r>
      <w:r w:rsidR="001679C5" w:rsidRPr="005A6FFB">
        <w:t>elehealth services on such lands.</w:t>
      </w:r>
    </w:p>
    <w:p w14:paraId="5E9D998D" w14:textId="38A3DC17" w:rsidR="0036705D" w:rsidRPr="00A4645B" w:rsidRDefault="0036705D" w:rsidP="00030585">
      <w:pPr>
        <w:pStyle w:val="Heading2"/>
      </w:pPr>
      <w:bookmarkStart w:id="34" w:name="_Toc114492059"/>
      <w:bookmarkStart w:id="35" w:name="_Toc115353762"/>
      <w:bookmarkEnd w:id="33"/>
      <w:r>
        <w:t>Broadband Infrastructure Requirements and Optimal Technical</w:t>
      </w:r>
      <w:r>
        <w:rPr>
          <w:spacing w:val="-1"/>
        </w:rPr>
        <w:t xml:space="preserve"> </w:t>
      </w:r>
      <w:r>
        <w:t>Features</w:t>
      </w:r>
      <w:r>
        <w:rPr>
          <w:spacing w:val="-3"/>
        </w:rPr>
        <w:t xml:space="preserve"> </w:t>
      </w:r>
      <w:r>
        <w:t>for</w:t>
      </w:r>
      <w:r>
        <w:rPr>
          <w:spacing w:val="-2"/>
        </w:rPr>
        <w:t xml:space="preserve"> </w:t>
      </w:r>
      <w:r w:rsidR="00005E24">
        <w:rPr>
          <w:spacing w:val="-2"/>
        </w:rPr>
        <w:tab/>
      </w:r>
      <w:r w:rsidR="00005E24">
        <w:rPr>
          <w:spacing w:val="-2"/>
        </w:rPr>
        <w:tab/>
      </w:r>
      <w:r w:rsidR="00005E24">
        <w:rPr>
          <w:spacing w:val="-2"/>
        </w:rPr>
        <w:tab/>
      </w:r>
      <w:r>
        <w:t>Telehealth Provisioning</w:t>
      </w:r>
      <w:bookmarkEnd w:id="34"/>
      <w:bookmarkEnd w:id="35"/>
    </w:p>
    <w:p w14:paraId="6FF8DFE5" w14:textId="3C42F329" w:rsidR="003C089A" w:rsidRDefault="005B7E50" w:rsidP="00030585">
      <w:pPr>
        <w:pStyle w:val="Heading3"/>
        <w:numPr>
          <w:ilvl w:val="0"/>
          <w:numId w:val="38"/>
        </w:numPr>
      </w:pPr>
      <w:bookmarkStart w:id="36" w:name="_Toc114492060"/>
      <w:bookmarkStart w:id="37" w:name="_Toc115353763"/>
      <w:r>
        <w:t>Broadband</w:t>
      </w:r>
      <w:r w:rsidRPr="005204AC">
        <w:rPr>
          <w:spacing w:val="-3"/>
        </w:rPr>
        <w:t xml:space="preserve"> </w:t>
      </w:r>
      <w:r>
        <w:t>Infrastructure</w:t>
      </w:r>
      <w:r w:rsidRPr="005204AC">
        <w:rPr>
          <w:spacing w:val="-3"/>
        </w:rPr>
        <w:t xml:space="preserve"> </w:t>
      </w:r>
      <w:r>
        <w:t>Requirements</w:t>
      </w:r>
      <w:r w:rsidRPr="005204AC">
        <w:rPr>
          <w:spacing w:val="-3"/>
        </w:rPr>
        <w:t xml:space="preserve"> </w:t>
      </w:r>
      <w:r>
        <w:t>for</w:t>
      </w:r>
      <w:r w:rsidRPr="005204AC">
        <w:rPr>
          <w:spacing w:val="-2"/>
        </w:rPr>
        <w:t xml:space="preserve"> </w:t>
      </w:r>
      <w:r w:rsidR="00D74387">
        <w:t>Telehealth</w:t>
      </w:r>
      <w:bookmarkEnd w:id="36"/>
      <w:bookmarkEnd w:id="37"/>
    </w:p>
    <w:p w14:paraId="2902934D" w14:textId="5EA5A97D" w:rsidR="00DA07A8" w:rsidRPr="000D584F" w:rsidRDefault="00D74387" w:rsidP="00DA07A8">
      <w:pPr>
        <w:pStyle w:val="FootnoteText"/>
        <w:spacing w:before="120" w:after="120"/>
        <w:ind w:firstLine="810"/>
        <w:rPr>
          <w:sz w:val="22"/>
          <w:szCs w:val="22"/>
        </w:rPr>
      </w:pPr>
      <w:r w:rsidRPr="005A6FFB">
        <w:rPr>
          <w:sz w:val="22"/>
          <w:szCs w:val="22"/>
        </w:rPr>
        <w:t>Telemedicine</w:t>
      </w:r>
      <w:r w:rsidR="005B7E50" w:rsidRPr="005A6FFB">
        <w:rPr>
          <w:spacing w:val="1"/>
          <w:sz w:val="22"/>
          <w:szCs w:val="22"/>
        </w:rPr>
        <w:t xml:space="preserve"> </w:t>
      </w:r>
      <w:r w:rsidR="005B7E50" w:rsidRPr="005A6FFB">
        <w:rPr>
          <w:sz w:val="22"/>
          <w:szCs w:val="22"/>
        </w:rPr>
        <w:t xml:space="preserve">settings include hospitals, clinics, provider offices, schools, skilled nursing </w:t>
      </w:r>
      <w:r w:rsidR="005B7E50" w:rsidRPr="005A6FFB">
        <w:rPr>
          <w:sz w:val="22"/>
          <w:szCs w:val="22"/>
        </w:rPr>
        <w:lastRenderedPageBreak/>
        <w:t>facilities, and private homes,</w:t>
      </w:r>
      <w:r w:rsidR="005B7E50" w:rsidRPr="005A6FFB">
        <w:rPr>
          <w:spacing w:val="1"/>
          <w:sz w:val="22"/>
          <w:szCs w:val="22"/>
        </w:rPr>
        <w:t xml:space="preserve"> </w:t>
      </w:r>
      <w:r w:rsidR="005B7E50" w:rsidRPr="005A6FFB">
        <w:rPr>
          <w:sz w:val="22"/>
          <w:szCs w:val="22"/>
        </w:rPr>
        <w:t>among others.</w:t>
      </w:r>
      <w:r w:rsidR="005B7E50" w:rsidRPr="005A6FFB">
        <w:rPr>
          <w:spacing w:val="1"/>
          <w:sz w:val="22"/>
          <w:szCs w:val="22"/>
        </w:rPr>
        <w:t xml:space="preserve"> </w:t>
      </w:r>
      <w:r w:rsidR="00C95CEE" w:rsidRPr="005A6FFB">
        <w:rPr>
          <w:spacing w:val="1"/>
          <w:sz w:val="22"/>
          <w:szCs w:val="22"/>
        </w:rPr>
        <w:t xml:space="preserve"> </w:t>
      </w:r>
      <w:r w:rsidR="002065B5" w:rsidRPr="005A6FFB">
        <w:rPr>
          <w:sz w:val="22"/>
          <w:szCs w:val="22"/>
        </w:rPr>
        <w:t xml:space="preserve">Broadband infrastructure for telehealth needs varies substantially by setting. </w:t>
      </w:r>
      <w:r w:rsidR="002065B5" w:rsidRPr="005A6FFB">
        <w:rPr>
          <w:spacing w:val="1"/>
          <w:sz w:val="22"/>
          <w:szCs w:val="22"/>
        </w:rPr>
        <w:t xml:space="preserve"> </w:t>
      </w:r>
      <w:r w:rsidR="005B7E50" w:rsidRPr="005A6FFB">
        <w:rPr>
          <w:sz w:val="22"/>
          <w:szCs w:val="22"/>
        </w:rPr>
        <w:t xml:space="preserve">Each </w:t>
      </w:r>
      <w:r w:rsidR="00C95CEE" w:rsidRPr="005A6FFB">
        <w:rPr>
          <w:sz w:val="22"/>
          <w:szCs w:val="22"/>
        </w:rPr>
        <w:t>t</w:t>
      </w:r>
      <w:r w:rsidRPr="005A6FFB">
        <w:rPr>
          <w:sz w:val="22"/>
          <w:szCs w:val="22"/>
        </w:rPr>
        <w:t>elemedicine</w:t>
      </w:r>
      <w:r w:rsidR="005B7E50" w:rsidRPr="005A6FFB">
        <w:rPr>
          <w:sz w:val="22"/>
          <w:szCs w:val="22"/>
        </w:rPr>
        <w:t xml:space="preserve"> setting (whether an originating or distant site) requires both</w:t>
      </w:r>
      <w:r w:rsidR="005B7E50" w:rsidRPr="005A6FFB">
        <w:rPr>
          <w:spacing w:val="1"/>
          <w:sz w:val="22"/>
          <w:szCs w:val="22"/>
        </w:rPr>
        <w:t xml:space="preserve"> </w:t>
      </w:r>
      <w:r w:rsidR="005B7E50" w:rsidRPr="005A6FFB">
        <w:rPr>
          <w:sz w:val="22"/>
          <w:szCs w:val="22"/>
        </w:rPr>
        <w:t xml:space="preserve">connectivity and equipment, with differences in the type and acuity of the care </w:t>
      </w:r>
      <w:r w:rsidR="00C95CEE" w:rsidRPr="005A6FFB">
        <w:rPr>
          <w:sz w:val="22"/>
          <w:szCs w:val="22"/>
        </w:rPr>
        <w:t xml:space="preserve">being </w:t>
      </w:r>
      <w:r w:rsidR="005B7E50" w:rsidRPr="005A6FFB">
        <w:rPr>
          <w:sz w:val="22"/>
          <w:szCs w:val="22"/>
        </w:rPr>
        <w:t>delivered requiring</w:t>
      </w:r>
      <w:r w:rsidR="005B7E50" w:rsidRPr="005A6FFB">
        <w:rPr>
          <w:spacing w:val="1"/>
          <w:sz w:val="22"/>
          <w:szCs w:val="22"/>
        </w:rPr>
        <w:t xml:space="preserve"> </w:t>
      </w:r>
      <w:r w:rsidR="005B7E50" w:rsidRPr="005A6FFB">
        <w:rPr>
          <w:sz w:val="22"/>
          <w:szCs w:val="22"/>
        </w:rPr>
        <w:t>varying levels of technology and support.</w:t>
      </w:r>
      <w:r w:rsidR="005B7E50" w:rsidRPr="005A6FFB">
        <w:rPr>
          <w:spacing w:val="1"/>
          <w:sz w:val="22"/>
          <w:szCs w:val="22"/>
        </w:rPr>
        <w:t xml:space="preserve"> </w:t>
      </w:r>
      <w:r w:rsidR="00DA07A8" w:rsidRPr="005A6FFB">
        <w:rPr>
          <w:spacing w:val="1"/>
          <w:sz w:val="22"/>
          <w:szCs w:val="22"/>
        </w:rPr>
        <w:t xml:space="preserve"> </w:t>
      </w:r>
      <w:r w:rsidR="00DA07A8" w:rsidRPr="000D584F">
        <w:rPr>
          <w:sz w:val="22"/>
          <w:szCs w:val="22"/>
        </w:rPr>
        <w:t xml:space="preserve">For example, telemedicine requires the </w:t>
      </w:r>
      <w:r w:rsidR="000D584F" w:rsidRPr="000D584F">
        <w:rPr>
          <w:sz w:val="22"/>
          <w:szCs w:val="22"/>
        </w:rPr>
        <w:t xml:space="preserve">underlying physical </w:t>
      </w:r>
      <w:r w:rsidR="00DA07A8" w:rsidRPr="000D584F">
        <w:rPr>
          <w:sz w:val="22"/>
          <w:szCs w:val="22"/>
        </w:rPr>
        <w:t>network to be able to handle necessary medical data transfer and communication needs, as well as all the other needs of other members of the home or facility at the same time without causing service problems or interruptions.</w:t>
      </w:r>
    </w:p>
    <w:p w14:paraId="7ED65578" w14:textId="67D14499" w:rsidR="00EB3202" w:rsidRPr="000D584F" w:rsidRDefault="00FA5A63" w:rsidP="00D51E99">
      <w:pPr>
        <w:pStyle w:val="BodyText"/>
        <w:spacing w:before="120" w:after="120"/>
        <w:ind w:left="0" w:firstLine="720"/>
        <w:rPr>
          <w:spacing w:val="1"/>
        </w:rPr>
      </w:pPr>
      <w:r w:rsidRPr="000D584F">
        <w:t>S</w:t>
      </w:r>
      <w:r w:rsidR="35CF6DCE" w:rsidRPr="000D584F">
        <w:t xml:space="preserve">ettings </w:t>
      </w:r>
      <w:r w:rsidRPr="000D584F">
        <w:t xml:space="preserve">that </w:t>
      </w:r>
      <w:r w:rsidR="35CF6DCE" w:rsidRPr="000D584F">
        <w:t>must have the necessary infrastructure</w:t>
      </w:r>
      <w:r w:rsidR="35CF6DCE" w:rsidRPr="000D584F">
        <w:rPr>
          <w:spacing w:val="1"/>
        </w:rPr>
        <w:t xml:space="preserve"> </w:t>
      </w:r>
      <w:r w:rsidR="35CF6DCE" w:rsidRPr="000D584F">
        <w:t>includ</w:t>
      </w:r>
      <w:r w:rsidRPr="000D584F">
        <w:t>e</w:t>
      </w:r>
      <w:r w:rsidR="35CF6DCE" w:rsidRPr="000D584F">
        <w:t xml:space="preserve"> homes of older adults (to support aging</w:t>
      </w:r>
      <w:r w:rsidR="00105BAA">
        <w:t>-</w:t>
      </w:r>
      <w:r w:rsidR="35CF6DCE" w:rsidRPr="000D584F">
        <w:t>in</w:t>
      </w:r>
      <w:r w:rsidR="00105BAA">
        <w:t>-</w:t>
      </w:r>
      <w:r w:rsidR="35CF6DCE" w:rsidRPr="000D584F">
        <w:t>place) and clinics or independent provider offices in</w:t>
      </w:r>
      <w:r w:rsidR="54C1EB2C" w:rsidRPr="000D584F">
        <w:t xml:space="preserve"> </w:t>
      </w:r>
      <w:r w:rsidR="35CF6DCE" w:rsidRPr="000D584F">
        <w:t>rural and frontier communities that are far from a hospital.</w:t>
      </w:r>
      <w:r w:rsidR="35CF6DCE" w:rsidRPr="000D584F">
        <w:rPr>
          <w:spacing w:val="1"/>
        </w:rPr>
        <w:t xml:space="preserve"> </w:t>
      </w:r>
      <w:r w:rsidR="1A68908F" w:rsidRPr="000D584F">
        <w:rPr>
          <w:spacing w:val="1"/>
        </w:rPr>
        <w:t xml:space="preserve"> </w:t>
      </w:r>
      <w:r w:rsidR="35CF6DCE" w:rsidRPr="000D584F">
        <w:t>Differences in broadband</w:t>
      </w:r>
      <w:r w:rsidR="00210776">
        <w:t xml:space="preserve"> </w:t>
      </w:r>
      <w:r w:rsidR="007807BB">
        <w:t xml:space="preserve">infrastructure </w:t>
      </w:r>
      <w:r w:rsidR="00210776">
        <w:t>requirements</w:t>
      </w:r>
      <w:r w:rsidR="35CF6DCE" w:rsidRPr="000D584F">
        <w:t xml:space="preserve"> must be considered when</w:t>
      </w:r>
      <w:r w:rsidR="35CF6DCE" w:rsidRPr="000D584F">
        <w:rPr>
          <w:spacing w:val="1"/>
        </w:rPr>
        <w:t xml:space="preserve"> </w:t>
      </w:r>
      <w:r w:rsidR="35CF6DCE" w:rsidRPr="000D584F">
        <w:t xml:space="preserve">evaluating the appropriateness of </w:t>
      </w:r>
      <w:r w:rsidR="368CB611" w:rsidRPr="000D584F">
        <w:t>t</w:t>
      </w:r>
      <w:r w:rsidR="055A994C" w:rsidRPr="000D584F">
        <w:t>elemedicine</w:t>
      </w:r>
      <w:r w:rsidR="35CF6DCE" w:rsidRPr="000D584F">
        <w:t xml:space="preserve"> in various settings.</w:t>
      </w:r>
      <w:r w:rsidR="35CF6DCE" w:rsidRPr="000D584F">
        <w:rPr>
          <w:spacing w:val="1"/>
        </w:rPr>
        <w:t xml:space="preserve"> </w:t>
      </w:r>
      <w:r w:rsidR="368CB611" w:rsidRPr="000D584F">
        <w:rPr>
          <w:spacing w:val="1"/>
        </w:rPr>
        <w:t xml:space="preserve"> </w:t>
      </w:r>
      <w:r w:rsidR="35CF6DCE" w:rsidRPr="000D584F">
        <w:t>For example, mobile broadband plays</w:t>
      </w:r>
      <w:r w:rsidR="00EF569B" w:rsidRPr="000D584F">
        <w:t xml:space="preserve"> </w:t>
      </w:r>
      <w:r w:rsidR="35CF6DCE" w:rsidRPr="000D584F">
        <w:rPr>
          <w:spacing w:val="-52"/>
        </w:rPr>
        <w:t xml:space="preserve"> </w:t>
      </w:r>
      <w:r w:rsidR="0037411A" w:rsidRPr="000D584F">
        <w:rPr>
          <w:spacing w:val="-52"/>
        </w:rPr>
        <w:t xml:space="preserve">   </w:t>
      </w:r>
      <w:r w:rsidR="000439C1" w:rsidRPr="000D584F">
        <w:rPr>
          <w:spacing w:val="-52"/>
        </w:rPr>
        <w:t xml:space="preserve">  </w:t>
      </w:r>
      <w:r w:rsidR="35CF6DCE" w:rsidRPr="000D584F">
        <w:t xml:space="preserve">an important role for </w:t>
      </w:r>
      <w:r w:rsidR="368CB611" w:rsidRPr="000D584F">
        <w:t>t</w:t>
      </w:r>
      <w:r w:rsidR="055A994C" w:rsidRPr="000D584F">
        <w:t>elemedicine</w:t>
      </w:r>
      <w:r w:rsidR="35CF6DCE" w:rsidRPr="000D584F">
        <w:t>, especially in rural areas and in applications used by emergency</w:t>
      </w:r>
      <w:r w:rsidR="35CF6DCE" w:rsidRPr="000D584F">
        <w:rPr>
          <w:spacing w:val="1"/>
        </w:rPr>
        <w:t xml:space="preserve"> </w:t>
      </w:r>
      <w:r w:rsidR="35CF6DCE" w:rsidRPr="000D584F">
        <w:t>responders and mobile clinics.</w:t>
      </w:r>
      <w:r w:rsidR="35CF6DCE" w:rsidRPr="000D584F">
        <w:rPr>
          <w:spacing w:val="1"/>
        </w:rPr>
        <w:t xml:space="preserve"> </w:t>
      </w:r>
      <w:r w:rsidR="368CB611" w:rsidRPr="000D584F">
        <w:rPr>
          <w:spacing w:val="1"/>
        </w:rPr>
        <w:t xml:space="preserve"> </w:t>
      </w:r>
      <w:r w:rsidR="35CF6DCE" w:rsidRPr="000D584F">
        <w:t xml:space="preserve">Further, redundancy of broadband </w:t>
      </w:r>
      <w:r w:rsidR="00EB3202" w:rsidRPr="000D584F">
        <w:t xml:space="preserve">access networks </w:t>
      </w:r>
      <w:r w:rsidR="35CF6DCE" w:rsidRPr="000D584F">
        <w:t>is important so that patient</w:t>
      </w:r>
      <w:r w:rsidR="35CF6DCE" w:rsidRPr="000D584F">
        <w:rPr>
          <w:spacing w:val="1"/>
        </w:rPr>
        <w:t xml:space="preserve"> </w:t>
      </w:r>
      <w:r w:rsidR="35CF6DCE" w:rsidRPr="000D584F">
        <w:t>care is not interrupted</w:t>
      </w:r>
      <w:r w:rsidR="00122EDD" w:rsidRPr="000D584F">
        <w:t xml:space="preserve"> by the service disruptions of one provider</w:t>
      </w:r>
      <w:r w:rsidR="35CF6DCE" w:rsidRPr="000D584F">
        <w:t>.</w:t>
      </w:r>
    </w:p>
    <w:p w14:paraId="1E89B891" w14:textId="5B9C4913" w:rsidR="00F44C8A" w:rsidRPr="000D584F" w:rsidRDefault="35CF6DCE" w:rsidP="00D51E99">
      <w:pPr>
        <w:pStyle w:val="BodyText"/>
        <w:spacing w:before="120" w:after="120"/>
        <w:ind w:left="0" w:firstLine="720"/>
      </w:pPr>
      <w:r w:rsidRPr="000D584F">
        <w:t>The task is to identify the facilities (hospitals, clinics, shelters) that require</w:t>
      </w:r>
      <w:r w:rsidRPr="000D584F">
        <w:rPr>
          <w:spacing w:val="1"/>
        </w:rPr>
        <w:t xml:space="preserve"> </w:t>
      </w:r>
      <w:r w:rsidR="007807BB">
        <w:rPr>
          <w:spacing w:val="1"/>
        </w:rPr>
        <w:t xml:space="preserve">specialized </w:t>
      </w:r>
      <w:r w:rsidRPr="000D584F">
        <w:t xml:space="preserve">broadband infrastructure for </w:t>
      </w:r>
      <w:r w:rsidR="368CB611" w:rsidRPr="000D584F">
        <w:t>t</w:t>
      </w:r>
      <w:r w:rsidR="055A994C" w:rsidRPr="000D584F">
        <w:t>elehealth</w:t>
      </w:r>
      <w:r w:rsidRPr="000D584F">
        <w:t xml:space="preserve"> implementation</w:t>
      </w:r>
      <w:r w:rsidR="368CB611" w:rsidRPr="000D584F">
        <w:t>.</w:t>
      </w:r>
      <w:r w:rsidR="00A55414" w:rsidRPr="000D584F">
        <w:rPr>
          <w:rStyle w:val="FootnoteReference"/>
        </w:rPr>
        <w:footnoteReference w:id="57"/>
      </w:r>
      <w:r w:rsidR="368CB611" w:rsidRPr="000D584F">
        <w:t xml:space="preserve">  </w:t>
      </w:r>
      <w:r w:rsidR="00122EDD" w:rsidRPr="000D584F">
        <w:t xml:space="preserve">Each may </w:t>
      </w:r>
      <w:r w:rsidRPr="000D584F">
        <w:t>require different types of</w:t>
      </w:r>
      <w:r w:rsidRPr="000D584F">
        <w:rPr>
          <w:spacing w:val="1"/>
        </w:rPr>
        <w:t xml:space="preserve"> </w:t>
      </w:r>
      <w:r w:rsidRPr="000D584F">
        <w:t>telecommunications, software, and equipment in order to realize a successful outcome.</w:t>
      </w:r>
      <w:r w:rsidR="00D460BE" w:rsidRPr="000D584F">
        <w:t xml:space="preserve">  T</w:t>
      </w:r>
      <w:r w:rsidR="001203B3" w:rsidRPr="000D584F">
        <w:t>o support these requirements, broadband networks must provide low total latency, sufficient</w:t>
      </w:r>
      <w:r w:rsidR="001203B3" w:rsidRPr="000D584F">
        <w:rPr>
          <w:spacing w:val="1"/>
        </w:rPr>
        <w:t xml:space="preserve"> </w:t>
      </w:r>
      <w:r w:rsidR="001203B3" w:rsidRPr="000D584F">
        <w:t>upload bandwidth, and resiliency and reliability to support the requirements for audio and video</w:t>
      </w:r>
      <w:r w:rsidR="00D460BE" w:rsidRPr="000D584F">
        <w:t>.</w:t>
      </w:r>
    </w:p>
    <w:p w14:paraId="5FFFB86B" w14:textId="14CF7D58" w:rsidR="00F44C8A" w:rsidRDefault="00F44C8A" w:rsidP="00030585">
      <w:pPr>
        <w:pStyle w:val="Heading3"/>
      </w:pPr>
      <w:bookmarkStart w:id="38" w:name="_Toc114492061"/>
      <w:bookmarkStart w:id="39" w:name="_Toc115353764"/>
      <w:r>
        <w:t>Optimal Technical Features for Broadband</w:t>
      </w:r>
      <w:r>
        <w:rPr>
          <w:spacing w:val="-2"/>
        </w:rPr>
        <w:t xml:space="preserve"> </w:t>
      </w:r>
      <w:r>
        <w:t>Telehealth Provisioning</w:t>
      </w:r>
      <w:bookmarkEnd w:id="38"/>
      <w:bookmarkEnd w:id="39"/>
    </w:p>
    <w:p w14:paraId="38F0D706" w14:textId="6241804A" w:rsidR="003C089A" w:rsidRDefault="35CF6DCE" w:rsidP="00D51E99">
      <w:pPr>
        <w:pStyle w:val="BodyText"/>
        <w:spacing w:before="120"/>
        <w:ind w:left="0" w:firstLine="720"/>
      </w:pPr>
      <w:r>
        <w:t xml:space="preserve">Broadband infrastructure </w:t>
      </w:r>
      <w:r w:rsidR="00122EDD">
        <w:t xml:space="preserve">for telehealth </w:t>
      </w:r>
      <w:r>
        <w:t>requires accessible</w:t>
      </w:r>
      <w:r w:rsidR="5CD55C86">
        <w:t xml:space="preserve"> and secure</w:t>
      </w:r>
      <w:r>
        <w:t xml:space="preserve"> communications capabilities.</w:t>
      </w:r>
      <w:r>
        <w:rPr>
          <w:spacing w:val="1"/>
        </w:rPr>
        <w:t xml:space="preserve"> </w:t>
      </w:r>
      <w:r w:rsidR="61A5A34E">
        <w:rPr>
          <w:spacing w:val="1"/>
        </w:rPr>
        <w:t xml:space="preserve"> </w:t>
      </w:r>
      <w:r w:rsidR="00122EDD">
        <w:rPr>
          <w:spacing w:val="1"/>
        </w:rPr>
        <w:t xml:space="preserve">The </w:t>
      </w:r>
      <w:r w:rsidR="00122EDD">
        <w:t>m</w:t>
      </w:r>
      <w:r>
        <w:t>etrics of broadband</w:t>
      </w:r>
      <w:r>
        <w:rPr>
          <w:spacing w:val="-52"/>
        </w:rPr>
        <w:t xml:space="preserve"> </w:t>
      </w:r>
      <w:r w:rsidR="0C8B16A9">
        <w:t xml:space="preserve"> </w:t>
      </w:r>
      <w:r w:rsidR="00EB3202">
        <w:t xml:space="preserve">telehealth </w:t>
      </w:r>
      <w:r w:rsidR="00122EDD">
        <w:t>service</w:t>
      </w:r>
      <w:r w:rsidR="00EB3202">
        <w:t>s</w:t>
      </w:r>
      <w:r w:rsidR="00122EDD">
        <w:t xml:space="preserve"> </w:t>
      </w:r>
      <w:r>
        <w:t xml:space="preserve">should </w:t>
      </w:r>
      <w:r w:rsidR="00122EDD">
        <w:t xml:space="preserve">include </w:t>
      </w:r>
      <w:r>
        <w:t xml:space="preserve">more than </w:t>
      </w:r>
      <w:r w:rsidR="008575FD">
        <w:t>down</w:t>
      </w:r>
      <w:r w:rsidR="00EB3202">
        <w:t xml:space="preserve">load and </w:t>
      </w:r>
      <w:r w:rsidR="008575FD">
        <w:t>up</w:t>
      </w:r>
      <w:r w:rsidR="00EB3202">
        <w:t>load</w:t>
      </w:r>
      <w:r w:rsidR="00066F44">
        <w:t xml:space="preserve"> speed</w:t>
      </w:r>
      <w:r w:rsidR="394F7C48">
        <w:t>.</w:t>
      </w:r>
      <w:r>
        <w:rPr>
          <w:spacing w:val="1"/>
        </w:rPr>
        <w:t xml:space="preserve"> </w:t>
      </w:r>
      <w:r w:rsidR="0C8B16A9">
        <w:rPr>
          <w:spacing w:val="1"/>
        </w:rPr>
        <w:t xml:space="preserve"> </w:t>
      </w:r>
      <w:r>
        <w:t>More comprehensive measurements should be taken over long periods</w:t>
      </w:r>
      <w:r w:rsidR="394F7C48">
        <w:t xml:space="preserve"> </w:t>
      </w:r>
      <w:r>
        <w:t>of time</w:t>
      </w:r>
      <w:r w:rsidR="0C8B16A9">
        <w:t xml:space="preserve"> </w:t>
      </w:r>
      <w:r>
        <w:t>to gauge latency, dropped packets</w:t>
      </w:r>
      <w:r w:rsidR="007807BB">
        <w:t>,</w:t>
      </w:r>
      <w:r w:rsidR="00A7632A">
        <w:t xml:space="preserve"> network congestion, device density,</w:t>
      </w:r>
      <w:r>
        <w:t xml:space="preserve"> and various data transfer patterns</w:t>
      </w:r>
      <w:r w:rsidR="394F7C48">
        <w:t>.</w:t>
      </w:r>
      <w:r w:rsidR="0C8B16A9">
        <w:t xml:space="preserve"> </w:t>
      </w:r>
      <w:r>
        <w:rPr>
          <w:spacing w:val="1"/>
        </w:rPr>
        <w:t xml:space="preserve"> </w:t>
      </w:r>
      <w:r>
        <w:t>Th</w:t>
      </w:r>
      <w:r w:rsidR="007807BB">
        <w:t>e</w:t>
      </w:r>
      <w:r>
        <w:t>se broadband measurements should serve as a basis for assessing performance of</w:t>
      </w:r>
      <w:r>
        <w:rPr>
          <w:spacing w:val="1"/>
        </w:rPr>
        <w:t xml:space="preserve"> </w:t>
      </w:r>
      <w:r w:rsidR="0C8B16A9">
        <w:t>t</w:t>
      </w:r>
      <w:r w:rsidR="055A994C">
        <w:t>elehealth</w:t>
      </w:r>
      <w:r>
        <w:rPr>
          <w:spacing w:val="-1"/>
        </w:rPr>
        <w:t xml:space="preserve"> </w:t>
      </w:r>
      <w:r>
        <w:t>software</w:t>
      </w:r>
      <w:r>
        <w:rPr>
          <w:spacing w:val="-1"/>
        </w:rPr>
        <w:t xml:space="preserve"> </w:t>
      </w:r>
      <w:r>
        <w:t>applications.</w:t>
      </w:r>
    </w:p>
    <w:p w14:paraId="660424A0" w14:textId="0ED2A351" w:rsidR="003C089A" w:rsidRDefault="35CF6DCE" w:rsidP="00D51E99">
      <w:pPr>
        <w:pStyle w:val="BodyText"/>
        <w:spacing w:before="120" w:after="120"/>
        <w:ind w:left="0" w:firstLine="720"/>
      </w:pPr>
      <w:r>
        <w:t xml:space="preserve">Required technical features of </w:t>
      </w:r>
      <w:r w:rsidR="0C8B16A9">
        <w:t>t</w:t>
      </w:r>
      <w:r w:rsidR="055A994C">
        <w:t>elehealth</w:t>
      </w:r>
      <w:r>
        <w:t xml:space="preserve"> should</w:t>
      </w:r>
      <w:r w:rsidR="5CD55C86">
        <w:t xml:space="preserve"> </w:t>
      </w:r>
      <w:r>
        <w:t>include</w:t>
      </w:r>
      <w:r w:rsidR="0C8B16A9">
        <w:t xml:space="preserve"> </w:t>
      </w:r>
      <w:r>
        <w:t>live video with image and audio quality</w:t>
      </w:r>
      <w:r>
        <w:rPr>
          <w:spacing w:val="1"/>
        </w:rPr>
        <w:t xml:space="preserve"> </w:t>
      </w:r>
      <w:r>
        <w:t>sufficient for a healthcare provider to assess a patient.</w:t>
      </w:r>
      <w:r>
        <w:rPr>
          <w:spacing w:val="1"/>
        </w:rPr>
        <w:t xml:space="preserve"> </w:t>
      </w:r>
      <w:r w:rsidR="0C8B16A9">
        <w:rPr>
          <w:spacing w:val="1"/>
        </w:rPr>
        <w:t xml:space="preserve"> </w:t>
      </w:r>
      <w:r>
        <w:t>The audio quality should be crystal clear to avoid</w:t>
      </w:r>
      <w:r>
        <w:rPr>
          <w:spacing w:val="1"/>
        </w:rPr>
        <w:t xml:space="preserve"> </w:t>
      </w:r>
      <w:r>
        <w:t xml:space="preserve">adding to the difficulty of understanding of local accents, </w:t>
      </w:r>
      <w:r w:rsidR="00F506B8">
        <w:t xml:space="preserve">and </w:t>
      </w:r>
      <w:r>
        <w:t xml:space="preserve">non-native English speakers’ </w:t>
      </w:r>
      <w:r w:rsidR="33D91FF9">
        <w:t>pronunciations</w:t>
      </w:r>
      <w:r>
        <w:t>.</w:t>
      </w:r>
      <w:r>
        <w:rPr>
          <w:spacing w:val="1"/>
        </w:rPr>
        <w:t xml:space="preserve"> </w:t>
      </w:r>
      <w:r w:rsidR="00122EDD">
        <w:rPr>
          <w:spacing w:val="1"/>
        </w:rPr>
        <w:t xml:space="preserve"> </w:t>
      </w:r>
      <w:r>
        <w:t xml:space="preserve">The audio also should preserve intonations, </w:t>
      </w:r>
      <w:r w:rsidR="33D91FF9">
        <w:t>tremolos,</w:t>
      </w:r>
      <w:r>
        <w:t xml:space="preserve"> and other non-verbal</w:t>
      </w:r>
      <w:r>
        <w:rPr>
          <w:spacing w:val="1"/>
        </w:rPr>
        <w:t xml:space="preserve"> </w:t>
      </w:r>
      <w:r>
        <w:t>sounds relevant to understand stress levels.</w:t>
      </w:r>
      <w:r>
        <w:rPr>
          <w:spacing w:val="1"/>
        </w:rPr>
        <w:t xml:space="preserve"> </w:t>
      </w:r>
      <w:r w:rsidR="00122EDD">
        <w:rPr>
          <w:spacing w:val="1"/>
        </w:rPr>
        <w:t xml:space="preserve"> </w:t>
      </w:r>
      <w:r>
        <w:t>The visual image should be clear enough to permit</w:t>
      </w:r>
      <w:r>
        <w:rPr>
          <w:spacing w:val="1"/>
        </w:rPr>
        <w:t xml:space="preserve"> </w:t>
      </w:r>
      <w:r>
        <w:t>distinguishing facial expressions, insect bites or rashes and labels of medication.</w:t>
      </w:r>
      <w:r>
        <w:rPr>
          <w:spacing w:val="1"/>
        </w:rPr>
        <w:t xml:space="preserve"> </w:t>
      </w:r>
      <w:r w:rsidR="00122EDD">
        <w:rPr>
          <w:spacing w:val="1"/>
        </w:rPr>
        <w:t xml:space="preserve"> </w:t>
      </w:r>
      <w:r>
        <w:t>Both audio and video</w:t>
      </w:r>
      <w:r>
        <w:rPr>
          <w:spacing w:val="1"/>
        </w:rPr>
        <w:t xml:space="preserve"> </w:t>
      </w:r>
      <w:r>
        <w:t>refresh</w:t>
      </w:r>
      <w:r>
        <w:rPr>
          <w:spacing w:val="-3"/>
        </w:rPr>
        <w:t xml:space="preserve"> </w:t>
      </w:r>
      <w:r>
        <w:t>rate should</w:t>
      </w:r>
      <w:r>
        <w:rPr>
          <w:spacing w:val="-2"/>
        </w:rPr>
        <w:t xml:space="preserve"> </w:t>
      </w:r>
      <w:r>
        <w:t>be</w:t>
      </w:r>
      <w:r>
        <w:rPr>
          <w:spacing w:val="-2"/>
        </w:rPr>
        <w:t xml:space="preserve"> </w:t>
      </w:r>
      <w:r>
        <w:t>fast</w:t>
      </w:r>
      <w:r>
        <w:rPr>
          <w:spacing w:val="-3"/>
        </w:rPr>
        <w:t xml:space="preserve"> </w:t>
      </w:r>
      <w:r>
        <w:t>enough</w:t>
      </w:r>
      <w:r>
        <w:rPr>
          <w:spacing w:val="-2"/>
        </w:rPr>
        <w:t xml:space="preserve"> </w:t>
      </w:r>
      <w:r>
        <w:t>to</w:t>
      </w:r>
      <w:r>
        <w:rPr>
          <w:spacing w:val="-1"/>
        </w:rPr>
        <w:t xml:space="preserve"> </w:t>
      </w:r>
      <w:r>
        <w:t>provide</w:t>
      </w:r>
      <w:r>
        <w:rPr>
          <w:spacing w:val="-2"/>
        </w:rPr>
        <w:t xml:space="preserve"> </w:t>
      </w:r>
      <w:r>
        <w:t>continuous</w:t>
      </w:r>
      <w:r>
        <w:rPr>
          <w:spacing w:val="-2"/>
        </w:rPr>
        <w:t xml:space="preserve"> </w:t>
      </w:r>
      <w:r>
        <w:t>quality</w:t>
      </w:r>
      <w:r>
        <w:rPr>
          <w:spacing w:val="-1"/>
        </w:rPr>
        <w:t xml:space="preserve"> </w:t>
      </w:r>
      <w:r>
        <w:t>images</w:t>
      </w:r>
      <w:r>
        <w:rPr>
          <w:spacing w:val="-2"/>
        </w:rPr>
        <w:t xml:space="preserve"> </w:t>
      </w:r>
      <w:r>
        <w:t>while</w:t>
      </w:r>
      <w:r>
        <w:rPr>
          <w:spacing w:val="-2"/>
        </w:rPr>
        <w:t xml:space="preserve"> </w:t>
      </w:r>
      <w:r>
        <w:t>the</w:t>
      </w:r>
      <w:r>
        <w:rPr>
          <w:spacing w:val="-2"/>
        </w:rPr>
        <w:t xml:space="preserve"> </w:t>
      </w:r>
      <w:r>
        <w:t>camera</w:t>
      </w:r>
      <w:r>
        <w:rPr>
          <w:spacing w:val="-3"/>
        </w:rPr>
        <w:t xml:space="preserve"> </w:t>
      </w:r>
      <w:r>
        <w:t>is</w:t>
      </w:r>
      <w:r>
        <w:rPr>
          <w:spacing w:val="-2"/>
        </w:rPr>
        <w:t xml:space="preserve"> </w:t>
      </w:r>
      <w:r>
        <w:t>in motion</w:t>
      </w:r>
      <w:r>
        <w:rPr>
          <w:spacing w:val="-1"/>
        </w:rPr>
        <w:t xml:space="preserve"> </w:t>
      </w:r>
      <w:r w:rsidR="008575FD">
        <w:rPr>
          <w:spacing w:val="-1"/>
        </w:rPr>
        <w:t>and provide</w:t>
      </w:r>
      <w:r>
        <w:t xml:space="preserve"> no delay between the audio and the video.</w:t>
      </w:r>
      <w:r w:rsidR="00301680">
        <w:rPr>
          <w:rStyle w:val="FootnoteReference"/>
        </w:rPr>
        <w:footnoteReference w:id="58"/>
      </w:r>
      <w:r>
        <w:rPr>
          <w:spacing w:val="1"/>
        </w:rPr>
        <w:t xml:space="preserve"> </w:t>
      </w:r>
      <w:r w:rsidR="61D48C3C">
        <w:rPr>
          <w:spacing w:val="1"/>
        </w:rPr>
        <w:t xml:space="preserve"> </w:t>
      </w:r>
      <w:r>
        <w:t>The lag between transmission by the patient and</w:t>
      </w:r>
      <w:r>
        <w:rPr>
          <w:spacing w:val="1"/>
        </w:rPr>
        <w:t xml:space="preserve"> </w:t>
      </w:r>
      <w:r>
        <w:t>viewing</w:t>
      </w:r>
      <w:r>
        <w:rPr>
          <w:spacing w:val="-1"/>
        </w:rPr>
        <w:t xml:space="preserve"> </w:t>
      </w:r>
      <w:r>
        <w:t>by</w:t>
      </w:r>
      <w:r>
        <w:rPr>
          <w:spacing w:val="1"/>
        </w:rPr>
        <w:t xml:space="preserve"> </w:t>
      </w:r>
      <w:r>
        <w:t>the</w:t>
      </w:r>
      <w:r>
        <w:rPr>
          <w:spacing w:val="-1"/>
        </w:rPr>
        <w:t xml:space="preserve"> </w:t>
      </w:r>
      <w:r>
        <w:t>provider should</w:t>
      </w:r>
      <w:r>
        <w:rPr>
          <w:spacing w:val="-1"/>
        </w:rPr>
        <w:t xml:space="preserve"> </w:t>
      </w:r>
      <w:r>
        <w:t>be</w:t>
      </w:r>
      <w:r>
        <w:rPr>
          <w:spacing w:val="-2"/>
        </w:rPr>
        <w:t xml:space="preserve"> </w:t>
      </w:r>
      <w:r>
        <w:t>less</w:t>
      </w:r>
      <w:r>
        <w:rPr>
          <w:spacing w:val="-1"/>
        </w:rPr>
        <w:t xml:space="preserve"> </w:t>
      </w:r>
      <w:r>
        <w:t>than</w:t>
      </w:r>
      <w:r>
        <w:rPr>
          <w:spacing w:val="-1"/>
        </w:rPr>
        <w:t xml:space="preserve"> </w:t>
      </w:r>
      <w:r w:rsidR="00A1415B">
        <w:t>one</w:t>
      </w:r>
      <w:r>
        <w:rPr>
          <w:spacing w:val="-1"/>
        </w:rPr>
        <w:t xml:space="preserve"> </w:t>
      </w:r>
      <w:r>
        <w:t>second</w:t>
      </w:r>
      <w:r>
        <w:rPr>
          <w:spacing w:val="-1"/>
        </w:rPr>
        <w:t xml:space="preserve"> </w:t>
      </w:r>
      <w:r>
        <w:t>to reduce</w:t>
      </w:r>
      <w:r>
        <w:rPr>
          <w:spacing w:val="-1"/>
        </w:rPr>
        <w:t xml:space="preserve"> </w:t>
      </w:r>
      <w:r w:rsidR="33D91FF9">
        <w:t>crosstalk</w:t>
      </w:r>
      <w:r>
        <w:t>.</w:t>
      </w:r>
      <w:r w:rsidR="00F506B8">
        <w:t xml:space="preserve">  Disability access should be ensured by using an accessible platform, website, and online tools that allow accessibility solutions such as captioning, screen readers, and interpreting services.</w:t>
      </w:r>
      <w:r w:rsidR="00F506B8">
        <w:rPr>
          <w:rStyle w:val="FootnoteReference"/>
        </w:rPr>
        <w:footnoteReference w:id="59"/>
      </w:r>
    </w:p>
    <w:p w14:paraId="752B6435" w14:textId="41D00788" w:rsidR="003C089A" w:rsidRDefault="00122EDD" w:rsidP="00D51E99">
      <w:pPr>
        <w:pStyle w:val="BodyText"/>
        <w:spacing w:before="120" w:after="120"/>
        <w:ind w:left="0" w:firstLine="720"/>
      </w:pPr>
      <w:r>
        <w:lastRenderedPageBreak/>
        <w:t>Telehealth provider a</w:t>
      </w:r>
      <w:r w:rsidR="005B7E50">
        <w:t xml:space="preserve">ccess to </w:t>
      </w:r>
      <w:r>
        <w:t xml:space="preserve">the </w:t>
      </w:r>
      <w:r w:rsidR="005B7E50">
        <w:t xml:space="preserve">latest patient information should include lab results, </w:t>
      </w:r>
      <w:r w:rsidR="009171A2">
        <w:t>medication,</w:t>
      </w:r>
      <w:r w:rsidR="005B7E50">
        <w:t xml:space="preserve"> and previous</w:t>
      </w:r>
      <w:r w:rsidR="005B7E50">
        <w:rPr>
          <w:spacing w:val="1"/>
        </w:rPr>
        <w:t xml:space="preserve"> </w:t>
      </w:r>
      <w:r w:rsidR="00957496">
        <w:t>t</w:t>
      </w:r>
      <w:r w:rsidR="00D74387">
        <w:t>elehealth</w:t>
      </w:r>
      <w:r w:rsidR="005B7E50">
        <w:t xml:space="preserve"> video recordings.</w:t>
      </w:r>
      <w:r w:rsidR="005B7E50">
        <w:rPr>
          <w:spacing w:val="1"/>
        </w:rPr>
        <w:t xml:space="preserve"> </w:t>
      </w:r>
      <w:r w:rsidR="00957496">
        <w:rPr>
          <w:spacing w:val="1"/>
        </w:rPr>
        <w:t xml:space="preserve"> </w:t>
      </w:r>
      <w:r w:rsidR="005B7E50">
        <w:t>Full access to the patient chart is desirable in the long term, but not</w:t>
      </w:r>
      <w:r w:rsidR="005B7E50">
        <w:rPr>
          <w:spacing w:val="1"/>
        </w:rPr>
        <w:t xml:space="preserve"> </w:t>
      </w:r>
      <w:r w:rsidR="005B7E50">
        <w:t xml:space="preserve">mandatory to derive benefits from </w:t>
      </w:r>
      <w:r w:rsidR="00957496">
        <w:t>t</w:t>
      </w:r>
      <w:r w:rsidR="00D74387">
        <w:t>elehealth</w:t>
      </w:r>
      <w:r w:rsidR="00EB3202">
        <w:t xml:space="preserve"> more immediately</w:t>
      </w:r>
      <w:r w:rsidR="005B7E50">
        <w:t>.</w:t>
      </w:r>
      <w:r w:rsidR="00544C5C">
        <w:rPr>
          <w:rStyle w:val="FootnoteReference"/>
        </w:rPr>
        <w:footnoteReference w:id="60"/>
      </w:r>
      <w:r w:rsidR="00957496">
        <w:t xml:space="preserve">  Access</w:t>
      </w:r>
      <w:r w:rsidR="005B7E50">
        <w:t xml:space="preserve"> to data from remote monitoring medical devices</w:t>
      </w:r>
      <w:r w:rsidR="005B7E50">
        <w:rPr>
          <w:spacing w:val="1"/>
        </w:rPr>
        <w:t xml:space="preserve"> </w:t>
      </w:r>
      <w:r w:rsidR="005B7E50">
        <w:t>installed at the patient’s mobile device (smartphone and/or tablet) should be accessible, and wireless</w:t>
      </w:r>
      <w:r w:rsidR="005B7E50">
        <w:rPr>
          <w:spacing w:val="1"/>
        </w:rPr>
        <w:t xml:space="preserve"> </w:t>
      </w:r>
      <w:r w:rsidR="005B7E50">
        <w:t xml:space="preserve">devices used for </w:t>
      </w:r>
      <w:r w:rsidR="00957496">
        <w:t>t</w:t>
      </w:r>
      <w:r w:rsidR="00D74387">
        <w:t>elehealth</w:t>
      </w:r>
      <w:r w:rsidR="005B7E50">
        <w:t xml:space="preserve"> should have battery strength lasting long enough for a </w:t>
      </w:r>
      <w:r w:rsidR="00957496">
        <w:t>t</w:t>
      </w:r>
      <w:r w:rsidR="00D74387">
        <w:t>elehealth</w:t>
      </w:r>
      <w:r w:rsidR="005B7E50">
        <w:t xml:space="preserve"> session.</w:t>
      </w:r>
      <w:r>
        <w:t xml:space="preserve"> </w:t>
      </w:r>
      <w:r w:rsidR="005B7E50">
        <w:rPr>
          <w:spacing w:val="1"/>
        </w:rPr>
        <w:t xml:space="preserve"> </w:t>
      </w:r>
      <w:r w:rsidR="005B7E50">
        <w:t>Wireless devices should have front and rear cameras to display dat</w:t>
      </w:r>
      <w:r w:rsidR="000F69C7">
        <w:t>a</w:t>
      </w:r>
      <w:r w:rsidR="005B7E50">
        <w:t xml:space="preserve"> as well as a medical condition on </w:t>
      </w:r>
      <w:r w:rsidR="008575FD">
        <w:t xml:space="preserve">the body </w:t>
      </w:r>
      <w:r w:rsidR="005B7E50">
        <w:t>of the patient or the face of the patient.</w:t>
      </w:r>
      <w:r w:rsidR="005B7E50">
        <w:rPr>
          <w:spacing w:val="1"/>
        </w:rPr>
        <w:t xml:space="preserve"> </w:t>
      </w:r>
      <w:r w:rsidR="00957496">
        <w:rPr>
          <w:spacing w:val="1"/>
        </w:rPr>
        <w:t xml:space="preserve"> </w:t>
      </w:r>
      <w:r w:rsidR="009171A2">
        <w:t>Underlying networks</w:t>
      </w:r>
      <w:r w:rsidR="005B7E50">
        <w:t xml:space="preserve"> should be</w:t>
      </w:r>
      <w:r w:rsidR="005B7E50">
        <w:rPr>
          <w:spacing w:val="1"/>
        </w:rPr>
        <w:t xml:space="preserve"> </w:t>
      </w:r>
      <w:r w:rsidR="005B7E50">
        <w:t>available for redundancy.</w:t>
      </w:r>
      <w:r w:rsidR="005B7E50">
        <w:rPr>
          <w:spacing w:val="1"/>
        </w:rPr>
        <w:t xml:space="preserve"> </w:t>
      </w:r>
      <w:r>
        <w:rPr>
          <w:spacing w:val="1"/>
        </w:rPr>
        <w:t xml:space="preserve"> </w:t>
      </w:r>
      <w:r w:rsidR="005B7E50">
        <w:t>Any device should have sufficient computing power and memory to support</w:t>
      </w:r>
      <w:r w:rsidR="005B7E50">
        <w:rPr>
          <w:spacing w:val="1"/>
        </w:rPr>
        <w:t xml:space="preserve"> </w:t>
      </w:r>
      <w:r w:rsidR="005B7E50">
        <w:t>modern video compression and upload algorithms and should be capable of running on one of the top</w:t>
      </w:r>
      <w:r w:rsidR="005B7E50">
        <w:rPr>
          <w:spacing w:val="1"/>
        </w:rPr>
        <w:t xml:space="preserve"> </w:t>
      </w:r>
      <w:r w:rsidR="005B7E50">
        <w:t>three mobile</w:t>
      </w:r>
      <w:r w:rsidR="005B7E50">
        <w:rPr>
          <w:spacing w:val="-1"/>
        </w:rPr>
        <w:t xml:space="preserve"> </w:t>
      </w:r>
      <w:r w:rsidR="005B7E50">
        <w:t>operating systems</w:t>
      </w:r>
      <w:r w:rsidR="005B7E50">
        <w:rPr>
          <w:spacing w:val="-1"/>
        </w:rPr>
        <w:t xml:space="preserve"> </w:t>
      </w:r>
      <w:r w:rsidR="005B7E50">
        <w:t>in the</w:t>
      </w:r>
      <w:r w:rsidR="005B7E50">
        <w:rPr>
          <w:spacing w:val="-1"/>
        </w:rPr>
        <w:t xml:space="preserve"> </w:t>
      </w:r>
      <w:r w:rsidR="005B7E50">
        <w:t>USA.</w:t>
      </w:r>
    </w:p>
    <w:p w14:paraId="037D9B56" w14:textId="616AD989" w:rsidR="0082098A" w:rsidRDefault="2DBF0C2F" w:rsidP="00D51E99">
      <w:pPr>
        <w:pStyle w:val="BodyText"/>
        <w:spacing w:before="120" w:after="120"/>
        <w:ind w:left="0" w:firstLine="720"/>
      </w:pPr>
      <w:r>
        <w:t xml:space="preserve">Devices themselves must be either intuitive and easy to use by the end user, or the hospital, clinic, doctor’s office, or other origination site should be able to train the recipient in the use of the device.  There should be a range of devices for </w:t>
      </w:r>
      <w:r w:rsidR="002A2E5F">
        <w:t xml:space="preserve">the user’s </w:t>
      </w:r>
      <w:r>
        <w:t xml:space="preserve">different skill levels and abilities.  Further, there should be a pipeline of devices available for people who have little ability </w:t>
      </w:r>
      <w:r w:rsidR="16E6DE20">
        <w:t xml:space="preserve">to </w:t>
      </w:r>
      <w:r>
        <w:t>afford the device.  Healthcare providers should work with governments</w:t>
      </w:r>
      <w:r w:rsidR="16E6DE20">
        <w:t>,</w:t>
      </w:r>
      <w:r>
        <w:t xml:space="preserve"> non-profits, and other organizations to be able to provide low-to</w:t>
      </w:r>
      <w:r w:rsidR="008575FD">
        <w:t>-</w:t>
      </w:r>
      <w:r>
        <w:t>no-cost devices to people who otherwise have no ability to connect to the internet.</w:t>
      </w:r>
    </w:p>
    <w:p w14:paraId="5F685C68" w14:textId="509A3946" w:rsidR="003C089A" w:rsidRDefault="000241A2" w:rsidP="007F7DCC">
      <w:pPr>
        <w:spacing w:before="120" w:after="120"/>
      </w:pPr>
      <w:r>
        <w:rPr>
          <w:sz w:val="20"/>
        </w:rPr>
        <w:tab/>
      </w:r>
      <w:r w:rsidR="055A994C">
        <w:t>Telehealth</w:t>
      </w:r>
      <w:r w:rsidR="35CF6DCE">
        <w:t xml:space="preserve"> software infrastructure should be required to allow providers to retrieve the latest</w:t>
      </w:r>
      <w:r w:rsidR="35CF6DCE">
        <w:rPr>
          <w:spacing w:val="1"/>
        </w:rPr>
        <w:t xml:space="preserve"> </w:t>
      </w:r>
      <w:r w:rsidR="35CF6DCE">
        <w:t>information as</w:t>
      </w:r>
      <w:r w:rsidR="35CF6DCE">
        <w:rPr>
          <w:spacing w:val="-2"/>
        </w:rPr>
        <w:t xml:space="preserve"> </w:t>
      </w:r>
      <w:r w:rsidR="35CF6DCE">
        <w:t>each session</w:t>
      </w:r>
      <w:r w:rsidR="35CF6DCE">
        <w:rPr>
          <w:spacing w:val="-1"/>
        </w:rPr>
        <w:t xml:space="preserve"> </w:t>
      </w:r>
      <w:r w:rsidR="35CF6DCE">
        <w:t>begins.</w:t>
      </w:r>
      <w:r w:rsidR="35CF6DCE">
        <w:rPr>
          <w:spacing w:val="52"/>
        </w:rPr>
        <w:t xml:space="preserve"> </w:t>
      </w:r>
      <w:r w:rsidR="35CF6DCE">
        <w:t>Over</w:t>
      </w:r>
      <w:r w:rsidR="35CF6DCE">
        <w:rPr>
          <w:spacing w:val="-2"/>
        </w:rPr>
        <w:t xml:space="preserve"> </w:t>
      </w:r>
      <w:r w:rsidR="35CF6DCE">
        <w:t>time,</w:t>
      </w:r>
      <w:r w:rsidR="35CF6DCE">
        <w:rPr>
          <w:spacing w:val="-2"/>
        </w:rPr>
        <w:t xml:space="preserve"> </w:t>
      </w:r>
      <w:r w:rsidR="35CF6DCE">
        <w:t>this</w:t>
      </w:r>
      <w:r w:rsidR="35CF6DCE">
        <w:rPr>
          <w:spacing w:val="-2"/>
        </w:rPr>
        <w:t xml:space="preserve"> </w:t>
      </w:r>
      <w:r w:rsidR="35CF6DCE">
        <w:t>requirement</w:t>
      </w:r>
      <w:r w:rsidR="35CF6DCE">
        <w:rPr>
          <w:spacing w:val="-1"/>
        </w:rPr>
        <w:t xml:space="preserve"> </w:t>
      </w:r>
      <w:r w:rsidR="35CF6DCE">
        <w:t>should</w:t>
      </w:r>
      <w:r w:rsidR="35CF6DCE">
        <w:rPr>
          <w:spacing w:val="-3"/>
        </w:rPr>
        <w:t xml:space="preserve"> </w:t>
      </w:r>
      <w:r w:rsidR="35CF6DCE">
        <w:t>evolve</w:t>
      </w:r>
      <w:r w:rsidR="35CF6DCE">
        <w:rPr>
          <w:spacing w:val="-2"/>
        </w:rPr>
        <w:t xml:space="preserve"> </w:t>
      </w:r>
      <w:r w:rsidR="35CF6DCE">
        <w:t>to</w:t>
      </w:r>
      <w:r w:rsidR="35CF6DCE">
        <w:rPr>
          <w:spacing w:val="-2"/>
        </w:rPr>
        <w:t xml:space="preserve"> </w:t>
      </w:r>
      <w:r w:rsidR="35CF6DCE">
        <w:t>gather</w:t>
      </w:r>
      <w:r w:rsidR="35CF6DCE">
        <w:rPr>
          <w:spacing w:val="-2"/>
        </w:rPr>
        <w:t xml:space="preserve"> </w:t>
      </w:r>
      <w:r w:rsidR="35CF6DCE">
        <w:t>data</w:t>
      </w:r>
      <w:r w:rsidR="35CF6DCE">
        <w:rPr>
          <w:spacing w:val="-2"/>
        </w:rPr>
        <w:t xml:space="preserve"> </w:t>
      </w:r>
      <w:r w:rsidR="35CF6DCE">
        <w:t>from</w:t>
      </w:r>
      <w:r w:rsidR="35CF6DCE">
        <w:rPr>
          <w:spacing w:val="-3"/>
        </w:rPr>
        <w:t xml:space="preserve"> </w:t>
      </w:r>
      <w:r w:rsidR="35CF6DCE">
        <w:t>a</w:t>
      </w:r>
      <w:r w:rsidR="35CF6DCE">
        <w:rPr>
          <w:spacing w:val="-1"/>
        </w:rPr>
        <w:t xml:space="preserve"> </w:t>
      </w:r>
      <w:r w:rsidR="008575FD">
        <w:rPr>
          <w:spacing w:val="-1"/>
        </w:rPr>
        <w:t>wide variety</w:t>
      </w:r>
      <w:r w:rsidR="35CF6DCE">
        <w:t xml:space="preserve"> of sources</w:t>
      </w:r>
      <w:r w:rsidR="136C69C5">
        <w:t xml:space="preserve"> </w:t>
      </w:r>
      <w:r w:rsidR="00BD74B7">
        <w:t xml:space="preserve">– </w:t>
      </w:r>
      <w:r w:rsidR="35CF6DCE">
        <w:t>multiple emergency rooms (ERs or EMRs), laboratories, primary care provider</w:t>
      </w:r>
      <w:r w:rsidR="008575FD">
        <w:t>s,</w:t>
      </w:r>
      <w:r w:rsidR="00B77C0A">
        <w:t xml:space="preserve"> </w:t>
      </w:r>
      <w:r w:rsidR="35CF6DCE">
        <w:t>emergency services (hospital or 911), preventive care plans</w:t>
      </w:r>
      <w:r w:rsidR="00A1415B" w:rsidRPr="00A1415B">
        <w:t xml:space="preserve">, </w:t>
      </w:r>
      <w:r w:rsidR="00A1415B" w:rsidRPr="005A6FFB">
        <w:rPr>
          <w:rStyle w:val="cf01"/>
          <w:rFonts w:ascii="Times New Roman" w:hAnsi="Times New Roman" w:cs="Times New Roman"/>
          <w:sz w:val="22"/>
          <w:szCs w:val="22"/>
        </w:rPr>
        <w:t xml:space="preserve">wearable devices, smartphones, social, environmental </w:t>
      </w:r>
      <w:r w:rsidR="007241CB">
        <w:rPr>
          <w:rStyle w:val="cf01"/>
          <w:rFonts w:ascii="Times New Roman" w:hAnsi="Times New Roman" w:cs="Times New Roman"/>
          <w:sz w:val="22"/>
          <w:szCs w:val="22"/>
        </w:rPr>
        <w:t>and</w:t>
      </w:r>
      <w:r w:rsidR="00A1415B" w:rsidRPr="005A6FFB">
        <w:rPr>
          <w:rStyle w:val="cf01"/>
          <w:rFonts w:ascii="Times New Roman" w:hAnsi="Times New Roman" w:cs="Times New Roman"/>
          <w:sz w:val="22"/>
          <w:szCs w:val="22"/>
        </w:rPr>
        <w:t xml:space="preserve"> educational services providers, fitness/activity, nutritional data</w:t>
      </w:r>
      <w:r w:rsidR="007241CB">
        <w:rPr>
          <w:rStyle w:val="cf01"/>
          <w:rFonts w:ascii="Times New Roman" w:hAnsi="Times New Roman" w:cs="Times New Roman"/>
          <w:sz w:val="22"/>
          <w:szCs w:val="22"/>
        </w:rPr>
        <w:t>,</w:t>
      </w:r>
      <w:r w:rsidR="00A1415B" w:rsidRPr="005A6FFB">
        <w:rPr>
          <w:rStyle w:val="cf01"/>
          <w:rFonts w:ascii="Times New Roman" w:hAnsi="Times New Roman" w:cs="Times New Roman"/>
          <w:sz w:val="22"/>
          <w:szCs w:val="22"/>
        </w:rPr>
        <w:t xml:space="preserve"> and medication data</w:t>
      </w:r>
      <w:r w:rsidR="35CF6DCE">
        <w:t>.</w:t>
      </w:r>
      <w:r w:rsidR="4BEC2DC1">
        <w:t xml:space="preserve"> </w:t>
      </w:r>
      <w:r w:rsidR="35CF6DCE">
        <w:rPr>
          <w:spacing w:val="1"/>
        </w:rPr>
        <w:t xml:space="preserve"> </w:t>
      </w:r>
      <w:r w:rsidR="35CF6DCE">
        <w:t xml:space="preserve">This would require </w:t>
      </w:r>
      <w:r w:rsidR="00802A23">
        <w:t>h</w:t>
      </w:r>
      <w:r w:rsidR="35CF6DCE">
        <w:t>ealth</w:t>
      </w:r>
      <w:r w:rsidR="35CF6DCE">
        <w:rPr>
          <w:spacing w:val="1"/>
        </w:rPr>
        <w:t xml:space="preserve"> </w:t>
      </w:r>
      <w:r w:rsidR="00802A23">
        <w:t>i</w:t>
      </w:r>
      <w:r w:rsidR="35CF6DCE" w:rsidRPr="000676C3">
        <w:t xml:space="preserve">nformation </w:t>
      </w:r>
      <w:r w:rsidR="00802A23">
        <w:t>e</w:t>
      </w:r>
      <w:r w:rsidR="35CF6DCE" w:rsidRPr="000676C3">
        <w:t>xchange</w:t>
      </w:r>
      <w:r w:rsidR="000676C3">
        <w:t>s</w:t>
      </w:r>
      <w:r w:rsidR="35CF6DCE" w:rsidRPr="000676C3">
        <w:t xml:space="preserve"> (HIE</w:t>
      </w:r>
      <w:r w:rsidR="00802A23">
        <w:t>s</w:t>
      </w:r>
      <w:r w:rsidR="35CF6DCE" w:rsidRPr="000676C3">
        <w:t>)</w:t>
      </w:r>
      <w:r w:rsidR="004A538C">
        <w:t xml:space="preserve"> </w:t>
      </w:r>
      <w:bookmarkStart w:id="40" w:name="OLE_LINK1"/>
      <w:r w:rsidR="00986ECB">
        <w:t>–</w:t>
      </w:r>
      <w:bookmarkEnd w:id="40"/>
      <w:r w:rsidR="00986ECB">
        <w:t xml:space="preserve"> </w:t>
      </w:r>
      <w:r w:rsidR="004A538C" w:rsidRPr="000676C3">
        <w:t>system</w:t>
      </w:r>
      <w:r w:rsidR="004A538C">
        <w:t>s</w:t>
      </w:r>
      <w:r w:rsidR="004A538C" w:rsidRPr="000676C3">
        <w:t xml:space="preserve"> that </w:t>
      </w:r>
      <w:r w:rsidR="004A538C" w:rsidRPr="000676C3">
        <w:rPr>
          <w:shd w:val="clear" w:color="auto" w:fill="FFFFFF"/>
        </w:rPr>
        <w:t xml:space="preserve">allow doctors, nurses, pharmacists, other </w:t>
      </w:r>
      <w:r w:rsidR="004A538C" w:rsidRPr="005804FA">
        <w:rPr>
          <w:shd w:val="clear" w:color="auto" w:fill="FFFFFF"/>
        </w:rPr>
        <w:t>health care providers and patients to appropriately access and securely share a patient’s vital medical information electronically</w:t>
      </w:r>
      <w:r w:rsidR="004A538C">
        <w:rPr>
          <w:shd w:val="clear" w:color="auto" w:fill="FFFFFF"/>
        </w:rPr>
        <w:t xml:space="preserve"> </w:t>
      </w:r>
      <w:r w:rsidR="007F7DCC" w:rsidRPr="000676C3">
        <w:rPr>
          <w:rStyle w:val="FootnoteReference"/>
        </w:rPr>
        <w:footnoteReference w:id="61"/>
      </w:r>
      <w:r w:rsidR="007241CB" w:rsidRPr="007241CB">
        <w:t xml:space="preserve"> – </w:t>
      </w:r>
      <w:r w:rsidR="35CF6DCE" w:rsidRPr="000676C3">
        <w:t xml:space="preserve">to be non-proprietary and open in </w:t>
      </w:r>
      <w:r w:rsidR="000676C3">
        <w:t>their</w:t>
      </w:r>
      <w:r w:rsidR="000676C3" w:rsidRPr="000676C3">
        <w:t xml:space="preserve"> </w:t>
      </w:r>
      <w:r w:rsidR="35CF6DCE" w:rsidRPr="000676C3">
        <w:t>interfaces.</w:t>
      </w:r>
      <w:r w:rsidR="4BEC2DC1" w:rsidRPr="000676C3">
        <w:t xml:space="preserve"> </w:t>
      </w:r>
      <w:r w:rsidR="35CF6DCE" w:rsidRPr="000676C3">
        <w:rPr>
          <w:spacing w:val="55"/>
        </w:rPr>
        <w:t xml:space="preserve"> </w:t>
      </w:r>
      <w:r w:rsidR="35CF6DCE" w:rsidRPr="000676C3">
        <w:t>Data and documents</w:t>
      </w:r>
      <w:r w:rsidR="35CF6DCE" w:rsidRPr="000676C3">
        <w:rPr>
          <w:spacing w:val="1"/>
        </w:rPr>
        <w:t xml:space="preserve"> </w:t>
      </w:r>
      <w:r w:rsidR="35CF6DCE" w:rsidRPr="000676C3">
        <w:t>should be able to be transferred in multiple formats and structures in order to be operable in the various</w:t>
      </w:r>
      <w:r w:rsidR="35CF6DCE" w:rsidRPr="000676C3">
        <w:rPr>
          <w:spacing w:val="1"/>
        </w:rPr>
        <w:t xml:space="preserve"> </w:t>
      </w:r>
      <w:r w:rsidR="35CF6DCE" w:rsidRPr="000676C3">
        <w:t>application programming interfaces</w:t>
      </w:r>
      <w:r w:rsidR="35CF6DCE">
        <w:t xml:space="preserve"> (API), rather than in the prevailing “PDF” format, to allow </w:t>
      </w:r>
      <w:r w:rsidR="008575FD">
        <w:t>electronic transfer</w:t>
      </w:r>
      <w:r w:rsidR="35CF6DCE">
        <w:t xml:space="preserve"> with full interoperability and use of the underlying data elements.</w:t>
      </w:r>
      <w:r w:rsidR="4BEC2DC1">
        <w:t xml:space="preserve"> </w:t>
      </w:r>
      <w:r w:rsidR="35CF6DCE">
        <w:rPr>
          <w:spacing w:val="1"/>
        </w:rPr>
        <w:t xml:space="preserve"> </w:t>
      </w:r>
      <w:r w:rsidR="35CF6DCE">
        <w:t>In order to be considered</w:t>
      </w:r>
      <w:r w:rsidR="35CF6DCE">
        <w:rPr>
          <w:spacing w:val="1"/>
        </w:rPr>
        <w:t xml:space="preserve"> </w:t>
      </w:r>
      <w:r w:rsidR="35CF6DCE">
        <w:t xml:space="preserve">interoperable, software vendors should be required to </w:t>
      </w:r>
      <w:r w:rsidR="127ACBE5">
        <w:t>open</w:t>
      </w:r>
      <w:r w:rsidR="35CF6DCE">
        <w:t xml:space="preserve"> their systems to communicate</w:t>
      </w:r>
      <w:r w:rsidR="35CF6DCE">
        <w:rPr>
          <w:spacing w:val="1"/>
        </w:rPr>
        <w:t xml:space="preserve"> </w:t>
      </w:r>
      <w:r w:rsidR="35CF6DCE">
        <w:t>electronically patient information.</w:t>
      </w:r>
    </w:p>
    <w:p w14:paraId="363AE0DA" w14:textId="291E2044" w:rsidR="00BB23FD" w:rsidRDefault="35CF6DCE" w:rsidP="00D51E99">
      <w:pPr>
        <w:pStyle w:val="BodyText"/>
        <w:spacing w:before="120" w:after="120"/>
        <w:ind w:left="0" w:firstLine="720"/>
      </w:pPr>
      <w:r>
        <w:t xml:space="preserve">In addition, 911 EMT services are starting to adopt video to provide better service, in particular </w:t>
      </w:r>
      <w:r w:rsidR="00311C42">
        <w:t xml:space="preserve">to </w:t>
      </w:r>
      <w:r w:rsidR="00D4163B">
        <w:t xml:space="preserve">rural areas and Tribal lands </w:t>
      </w:r>
      <w:r>
        <w:t>with longer driving distances.</w:t>
      </w:r>
      <w:r w:rsidR="7D439BA5">
        <w:t xml:space="preserve"> </w:t>
      </w:r>
      <w:r>
        <w:rPr>
          <w:spacing w:val="1"/>
        </w:rPr>
        <w:t xml:space="preserve"> </w:t>
      </w:r>
      <w:r>
        <w:t>This optimizes dispatch decisions (</w:t>
      </w:r>
      <w:r w:rsidR="33D91FF9" w:rsidRPr="278F0A51">
        <w:rPr>
          <w:i/>
          <w:iCs/>
        </w:rPr>
        <w:t>e.g.,</w:t>
      </w:r>
      <w:r>
        <w:t xml:space="preserve"> recommending that the</w:t>
      </w:r>
      <w:r>
        <w:rPr>
          <w:spacing w:val="1"/>
        </w:rPr>
        <w:t xml:space="preserve"> </w:t>
      </w:r>
      <w:r>
        <w:t>patient be driven by a family member to a local health center, rather than awaiting the arrival of an</w:t>
      </w:r>
      <w:r>
        <w:rPr>
          <w:spacing w:val="1"/>
        </w:rPr>
        <w:t xml:space="preserve"> </w:t>
      </w:r>
      <w:r>
        <w:t>ambulance).</w:t>
      </w:r>
      <w:r w:rsidR="00EB3202">
        <w:rPr>
          <w:spacing w:val="55"/>
        </w:rPr>
        <w:t xml:space="preserve"> </w:t>
      </w:r>
      <w:r>
        <w:t>It is also a way to serve more citizens during emergencies when resources must be</w:t>
      </w:r>
      <w:r>
        <w:rPr>
          <w:spacing w:val="1"/>
        </w:rPr>
        <w:t xml:space="preserve"> </w:t>
      </w:r>
      <w:r>
        <w:t>prioritized (</w:t>
      </w:r>
      <w:r w:rsidR="2D84BB95">
        <w:t xml:space="preserve">e.g., </w:t>
      </w:r>
      <w:r>
        <w:t>mutual assistance does not work given the distances).</w:t>
      </w:r>
      <w:r>
        <w:rPr>
          <w:spacing w:val="1"/>
        </w:rPr>
        <w:t xml:space="preserve"> </w:t>
      </w:r>
      <w:r w:rsidR="7D439BA5">
        <w:rPr>
          <w:spacing w:val="1"/>
        </w:rPr>
        <w:t xml:space="preserve"> </w:t>
      </w:r>
      <w:r w:rsidR="00F506B8">
        <w:rPr>
          <w:spacing w:val="1"/>
        </w:rPr>
        <w:t xml:space="preserve">Equipping </w:t>
      </w:r>
      <w:r w:rsidR="000D584F">
        <w:rPr>
          <w:spacing w:val="1"/>
        </w:rPr>
        <w:t>Public Safety Answering Points (</w:t>
      </w:r>
      <w:r w:rsidR="00F506B8">
        <w:rPr>
          <w:spacing w:val="1"/>
        </w:rPr>
        <w:t>PSAPs</w:t>
      </w:r>
      <w:r w:rsidR="000D584F">
        <w:rPr>
          <w:spacing w:val="1"/>
        </w:rPr>
        <w:t>)</w:t>
      </w:r>
      <w:r w:rsidR="00F506B8">
        <w:rPr>
          <w:spacing w:val="1"/>
        </w:rPr>
        <w:t xml:space="preserve"> with video capability may also allow for improved communications with speakers of American Sign Language.  </w:t>
      </w:r>
      <w:r>
        <w:t xml:space="preserve">Those 911 video initiatives </w:t>
      </w:r>
      <w:r w:rsidR="000B7C62">
        <w:t>should be considered</w:t>
      </w:r>
      <w:r>
        <w:rPr>
          <w:spacing w:val="-53"/>
        </w:rPr>
        <w:t xml:space="preserve"> </w:t>
      </w:r>
      <w:r w:rsidR="00EB3202">
        <w:rPr>
          <w:spacing w:val="-1"/>
        </w:rPr>
        <w:t xml:space="preserve"> </w:t>
      </w:r>
      <w:r w:rsidR="00311C42">
        <w:rPr>
          <w:spacing w:val="-1"/>
        </w:rPr>
        <w:t xml:space="preserve">telehealth </w:t>
      </w:r>
      <w:r w:rsidR="000B7C62">
        <w:rPr>
          <w:spacing w:val="-1"/>
        </w:rPr>
        <w:t>services</w:t>
      </w:r>
      <w:r>
        <w:t>.</w:t>
      </w:r>
    </w:p>
    <w:p w14:paraId="3E497119" w14:textId="2D9001EF" w:rsidR="00C379F4" w:rsidRPr="005A6FFB" w:rsidRDefault="0054363D" w:rsidP="005A6FFB">
      <w:pPr>
        <w:pStyle w:val="pf0"/>
        <w:tabs>
          <w:tab w:val="left" w:pos="720"/>
        </w:tabs>
        <w:spacing w:before="120" w:beforeAutospacing="0" w:after="120" w:afterAutospacing="0"/>
        <w:rPr>
          <w:sz w:val="22"/>
          <w:szCs w:val="22"/>
        </w:rPr>
      </w:pPr>
      <w:r w:rsidRPr="005A6FFB">
        <w:rPr>
          <w:rStyle w:val="cf01"/>
          <w:rFonts w:ascii="Times New Roman" w:hAnsi="Times New Roman" w:cs="Times New Roman"/>
          <w:sz w:val="22"/>
          <w:szCs w:val="22"/>
        </w:rPr>
        <w:lastRenderedPageBreak/>
        <w:tab/>
      </w:r>
      <w:r w:rsidR="00C379F4" w:rsidRPr="005A6FFB">
        <w:rPr>
          <w:rStyle w:val="cf01"/>
          <w:rFonts w:ascii="Times New Roman" w:hAnsi="Times New Roman" w:cs="Times New Roman"/>
          <w:sz w:val="22"/>
          <w:szCs w:val="22"/>
        </w:rPr>
        <w:t xml:space="preserve">Regarding cybersecurity, networks, devices, and software supporting telehealth programs should have appropriate cybersecurity measures to protect against or prevent the disruption, alteration, or destruction of vital telehealth services or data. </w:t>
      </w:r>
      <w:r w:rsidRPr="005A6FFB">
        <w:rPr>
          <w:rStyle w:val="cf01"/>
          <w:rFonts w:ascii="Times New Roman" w:hAnsi="Times New Roman" w:cs="Times New Roman"/>
          <w:sz w:val="22"/>
          <w:szCs w:val="22"/>
        </w:rPr>
        <w:t xml:space="preserve"> </w:t>
      </w:r>
      <w:r w:rsidR="00C379F4" w:rsidRPr="005A6FFB">
        <w:rPr>
          <w:rStyle w:val="cf01"/>
          <w:rFonts w:ascii="Times New Roman" w:hAnsi="Times New Roman" w:cs="Times New Roman"/>
          <w:sz w:val="22"/>
          <w:szCs w:val="22"/>
        </w:rPr>
        <w:t>Cybersecurity measures should strengthen the confidentiality and integrity of patient-doctor information and medical data, especially personal</w:t>
      </w:r>
      <w:r w:rsidRPr="005A6FFB">
        <w:rPr>
          <w:rStyle w:val="cf01"/>
          <w:rFonts w:ascii="Times New Roman" w:hAnsi="Times New Roman" w:cs="Times New Roman"/>
          <w:sz w:val="22"/>
          <w:szCs w:val="22"/>
        </w:rPr>
        <w:t>ly</w:t>
      </w:r>
      <w:r w:rsidR="00C379F4" w:rsidRPr="005A6FFB">
        <w:rPr>
          <w:rStyle w:val="cf01"/>
          <w:rFonts w:ascii="Times New Roman" w:hAnsi="Times New Roman" w:cs="Times New Roman"/>
          <w:sz w:val="22"/>
          <w:szCs w:val="22"/>
        </w:rPr>
        <w:t xml:space="preserve"> identifiable information (PII) and laboratory results, while enhancing the availability of data and services.</w:t>
      </w:r>
      <w:r w:rsidRPr="005A6FFB">
        <w:rPr>
          <w:sz w:val="22"/>
          <w:szCs w:val="22"/>
        </w:rPr>
        <w:t xml:space="preserve">  </w:t>
      </w:r>
      <w:r w:rsidR="00C379F4" w:rsidRPr="005A6FFB">
        <w:rPr>
          <w:rStyle w:val="cf01"/>
          <w:rFonts w:ascii="Times New Roman" w:hAnsi="Times New Roman" w:cs="Times New Roman"/>
          <w:sz w:val="22"/>
          <w:szCs w:val="22"/>
        </w:rPr>
        <w:t>Malicious cyber actors have used the pandemic as a means of gaining unauthorized access to personal health information, healthcare pages, and Domain Name System (DNS) servers</w:t>
      </w:r>
      <w:r>
        <w:rPr>
          <w:rStyle w:val="cf01"/>
          <w:rFonts w:ascii="Times New Roman" w:hAnsi="Times New Roman" w:cs="Times New Roman"/>
          <w:sz w:val="22"/>
          <w:szCs w:val="22"/>
        </w:rPr>
        <w:t>.</w:t>
      </w:r>
      <w:r>
        <w:rPr>
          <w:rStyle w:val="FootnoteReference"/>
          <w:sz w:val="22"/>
          <w:szCs w:val="22"/>
        </w:rPr>
        <w:footnoteReference w:id="62"/>
      </w:r>
      <w:r>
        <w:rPr>
          <w:rStyle w:val="cf01"/>
          <w:rFonts w:ascii="Times New Roman" w:hAnsi="Times New Roman" w:cs="Times New Roman"/>
          <w:sz w:val="22"/>
          <w:szCs w:val="22"/>
        </w:rPr>
        <w:t xml:space="preserve"> </w:t>
      </w:r>
      <w:r w:rsidR="00C379F4" w:rsidRPr="005A6FFB">
        <w:rPr>
          <w:rStyle w:val="cf01"/>
          <w:rFonts w:ascii="Times New Roman" w:hAnsi="Times New Roman" w:cs="Times New Roman"/>
          <w:sz w:val="22"/>
          <w:szCs w:val="22"/>
        </w:rPr>
        <w:t xml:space="preserve"> Further, with the distribution of health informatics, the exploitation space for threat actors has increased exponentially</w:t>
      </w:r>
      <w:r>
        <w:rPr>
          <w:rStyle w:val="cf01"/>
          <w:rFonts w:ascii="Times New Roman" w:hAnsi="Times New Roman" w:cs="Times New Roman"/>
          <w:sz w:val="22"/>
          <w:szCs w:val="22"/>
        </w:rPr>
        <w:t>.</w:t>
      </w:r>
      <w:r>
        <w:rPr>
          <w:rStyle w:val="FootnoteReference"/>
          <w:sz w:val="22"/>
          <w:szCs w:val="22"/>
        </w:rPr>
        <w:footnoteReference w:id="63"/>
      </w:r>
    </w:p>
    <w:p w14:paraId="1AB2E1CB" w14:textId="69E886F2" w:rsidR="001B0297" w:rsidRPr="005204AC" w:rsidRDefault="00BB23FD" w:rsidP="00030585">
      <w:pPr>
        <w:pStyle w:val="Heading3"/>
      </w:pPr>
      <w:bookmarkStart w:id="41" w:name="_Toc114492062"/>
      <w:bookmarkStart w:id="42" w:name="_Toc115353765"/>
      <w:r w:rsidRPr="005204AC">
        <w:t xml:space="preserve">Standardizing Telehealth Data, </w:t>
      </w:r>
      <w:r w:rsidR="00325F0F" w:rsidRPr="005204AC">
        <w:t>Interoperability and</w:t>
      </w:r>
      <w:r w:rsidRPr="005204AC">
        <w:t xml:space="preserve"> A</w:t>
      </w:r>
      <w:r w:rsidR="00294F6C" w:rsidRPr="005204AC">
        <w:t>pplication Programming Interface</w:t>
      </w:r>
      <w:r w:rsidRPr="005204AC">
        <w:t>s and Centraliz</w:t>
      </w:r>
      <w:r w:rsidR="00113EF1" w:rsidRPr="005204AC">
        <w:t>ing</w:t>
      </w:r>
      <w:r w:rsidRPr="005204AC">
        <w:t xml:space="preserve"> Telehealth</w:t>
      </w:r>
      <w:bookmarkEnd w:id="41"/>
      <w:bookmarkEnd w:id="42"/>
      <w:r w:rsidRPr="005204AC">
        <w:t xml:space="preserve"> </w:t>
      </w:r>
    </w:p>
    <w:p w14:paraId="4AE02395" w14:textId="7BE6A9BD" w:rsidR="00EF67E9" w:rsidRPr="001653A9" w:rsidRDefault="00B678A5" w:rsidP="00030585">
      <w:pPr>
        <w:pStyle w:val="Heading4"/>
      </w:pPr>
      <w:bookmarkStart w:id="43" w:name="_bookmark6"/>
      <w:bookmarkEnd w:id="43"/>
      <w:r w:rsidRPr="001653A9">
        <w:t>Standardizing Telehealth Data</w:t>
      </w:r>
    </w:p>
    <w:p w14:paraId="1E0E9135" w14:textId="000F54CD" w:rsidR="003735E1" w:rsidRDefault="008C671E" w:rsidP="004A2163">
      <w:pPr>
        <w:tabs>
          <w:tab w:val="left" w:pos="720"/>
        </w:tabs>
        <w:spacing w:before="120" w:after="120"/>
        <w:rPr>
          <w:shd w:val="clear" w:color="auto" w:fill="FFFFFF"/>
        </w:rPr>
      </w:pPr>
      <w:r w:rsidRPr="001653A9">
        <w:rPr>
          <w:shd w:val="clear" w:color="auto" w:fill="FFFFFF"/>
        </w:rPr>
        <w:tab/>
      </w:r>
      <w:r w:rsidR="007756B5" w:rsidRPr="001653A9">
        <w:rPr>
          <w:shd w:val="clear" w:color="auto" w:fill="FFFFFF"/>
        </w:rPr>
        <w:t>Telehealth</w:t>
      </w:r>
      <w:r w:rsidR="00DF229F" w:rsidRPr="001653A9">
        <w:rPr>
          <w:shd w:val="clear" w:color="auto" w:fill="FFFFFF"/>
        </w:rPr>
        <w:t xml:space="preserve"> data often comes from multiple entities using different platforms and applications and there are also differences in how the data is coded or presented.  </w:t>
      </w:r>
      <w:r w:rsidR="00DD4C32" w:rsidRPr="001653A9">
        <w:rPr>
          <w:shd w:val="clear" w:color="auto" w:fill="FFFFFF"/>
        </w:rPr>
        <w:t>Telehealth care providers and other stakeholders, including software engineers and health informaticists, should work together to help standardize data collection efforts that can be implemented nationally to foster better telehealth care.</w:t>
      </w:r>
      <w:r w:rsidR="00DD4C32" w:rsidRPr="001653A9">
        <w:t xml:space="preserve">   </w:t>
      </w:r>
      <w:r w:rsidR="00B678A5" w:rsidRPr="001653A9">
        <w:rPr>
          <w:shd w:val="clear" w:color="auto" w:fill="FFFFFF"/>
        </w:rPr>
        <w:t xml:space="preserve">With so many </w:t>
      </w:r>
      <w:r w:rsidR="00DF229F" w:rsidRPr="001653A9">
        <w:rPr>
          <w:shd w:val="clear" w:color="auto" w:fill="FFFFFF"/>
        </w:rPr>
        <w:t>ways to store and present data</w:t>
      </w:r>
      <w:r w:rsidR="00B678A5" w:rsidRPr="001653A9">
        <w:rPr>
          <w:shd w:val="clear" w:color="auto" w:fill="FFFFFF"/>
        </w:rPr>
        <w:t>, standardizing and centralizing data presents an enormous challenge</w:t>
      </w:r>
      <w:r w:rsidR="00DF229F" w:rsidRPr="001653A9">
        <w:rPr>
          <w:shd w:val="clear" w:color="auto" w:fill="FFFFFF"/>
        </w:rPr>
        <w:t xml:space="preserve"> for telehealth</w:t>
      </w:r>
      <w:r w:rsidR="002C11DF" w:rsidRPr="001653A9">
        <w:rPr>
          <w:shd w:val="clear" w:color="auto" w:fill="FFFFFF"/>
        </w:rPr>
        <w:t xml:space="preserve"> providers</w:t>
      </w:r>
      <w:r w:rsidR="00B678A5" w:rsidRPr="001653A9">
        <w:rPr>
          <w:shd w:val="clear" w:color="auto" w:fill="FFFFFF"/>
        </w:rPr>
        <w:t>.</w:t>
      </w:r>
      <w:r w:rsidR="00C50B2F" w:rsidRPr="001653A9">
        <w:rPr>
          <w:shd w:val="clear" w:color="auto" w:fill="FFFFFF"/>
        </w:rPr>
        <w:t xml:space="preserve">  </w:t>
      </w:r>
      <w:r w:rsidR="007756B5" w:rsidRPr="001653A9">
        <w:rPr>
          <w:shd w:val="clear" w:color="auto" w:fill="FFFFFF"/>
        </w:rPr>
        <w:t>But since s</w:t>
      </w:r>
      <w:r w:rsidR="002E5A64" w:rsidRPr="001653A9">
        <w:rPr>
          <w:shd w:val="clear" w:color="auto" w:fill="FFFFFF"/>
        </w:rPr>
        <w:t xml:space="preserve">tandardization </w:t>
      </w:r>
      <w:r w:rsidR="007756B5" w:rsidRPr="001653A9">
        <w:rPr>
          <w:shd w:val="clear" w:color="auto" w:fill="FFFFFF"/>
        </w:rPr>
        <w:t xml:space="preserve">also </w:t>
      </w:r>
      <w:r w:rsidR="009512E7" w:rsidRPr="001653A9">
        <w:rPr>
          <w:shd w:val="clear" w:color="auto" w:fill="FFFFFF"/>
        </w:rPr>
        <w:t>reduces</w:t>
      </w:r>
      <w:r w:rsidR="002E5A64" w:rsidRPr="001653A9">
        <w:rPr>
          <w:shd w:val="clear" w:color="auto" w:fill="FFFFFF"/>
        </w:rPr>
        <w:t xml:space="preserve"> ambiguity and make</w:t>
      </w:r>
      <w:r w:rsidR="009512E7" w:rsidRPr="001653A9">
        <w:rPr>
          <w:shd w:val="clear" w:color="auto" w:fill="FFFFFF"/>
        </w:rPr>
        <w:t>s</w:t>
      </w:r>
      <w:r w:rsidR="002E5A64" w:rsidRPr="001653A9">
        <w:rPr>
          <w:shd w:val="clear" w:color="auto" w:fill="FFFFFF"/>
        </w:rPr>
        <w:t xml:space="preserve"> data useable across systems to “promote data-sharing and analytics across the care continuum</w:t>
      </w:r>
      <w:r w:rsidR="007756B5" w:rsidRPr="001653A9">
        <w:rPr>
          <w:shd w:val="clear" w:color="auto" w:fill="FFFFFF"/>
        </w:rPr>
        <w:t>, it also presents an enormous opportunity</w:t>
      </w:r>
      <w:r w:rsidR="002E5A64" w:rsidRPr="001653A9">
        <w:rPr>
          <w:shd w:val="clear" w:color="auto" w:fill="FFFFFF"/>
        </w:rPr>
        <w:t>.”</w:t>
      </w:r>
      <w:r w:rsidR="00B96948" w:rsidRPr="001653A9">
        <w:rPr>
          <w:rStyle w:val="FootnoteReference"/>
          <w:shd w:val="clear" w:color="auto" w:fill="FFFFFF"/>
        </w:rPr>
        <w:footnoteReference w:id="64"/>
      </w:r>
    </w:p>
    <w:p w14:paraId="355B1A0B" w14:textId="2DDB287A" w:rsidR="00BB23FD" w:rsidRPr="00326674" w:rsidRDefault="005204AC" w:rsidP="00030585">
      <w:pPr>
        <w:pStyle w:val="Heading4"/>
        <w:rPr>
          <w:shd w:val="clear" w:color="auto" w:fill="FFFFFF"/>
        </w:rPr>
      </w:pPr>
      <w:r>
        <w:t>I</w:t>
      </w:r>
      <w:r w:rsidR="00BB23FD" w:rsidRPr="00326674">
        <w:t>nteroperab</w:t>
      </w:r>
      <w:r w:rsidR="00325F0F">
        <w:t>ility and A</w:t>
      </w:r>
      <w:r w:rsidR="00294F6C">
        <w:t xml:space="preserve">pplication </w:t>
      </w:r>
      <w:r w:rsidR="00325F0F">
        <w:t>P</w:t>
      </w:r>
      <w:r w:rsidR="00294F6C">
        <w:t xml:space="preserve">rogramming </w:t>
      </w:r>
      <w:r w:rsidR="00325F0F">
        <w:t>I</w:t>
      </w:r>
      <w:r w:rsidR="00294F6C">
        <w:t>nterface</w:t>
      </w:r>
      <w:r w:rsidR="00325F0F">
        <w:t>s</w:t>
      </w:r>
    </w:p>
    <w:p w14:paraId="0A754FA8" w14:textId="6BC3BD6F" w:rsidR="00985EF6" w:rsidRDefault="00DF3AE8" w:rsidP="004A2163">
      <w:pPr>
        <w:spacing w:before="120" w:after="120"/>
      </w:pPr>
      <w:r w:rsidRPr="001653A9">
        <w:tab/>
      </w:r>
      <w:r w:rsidR="00206B08" w:rsidRPr="001653A9">
        <w:t xml:space="preserve">In addition to data </w:t>
      </w:r>
      <w:r w:rsidRPr="001653A9">
        <w:rPr>
          <w:shd w:val="clear" w:color="auto" w:fill="FFFFFF"/>
        </w:rPr>
        <w:t>standardization</w:t>
      </w:r>
      <w:r w:rsidR="00206B08" w:rsidRPr="001653A9">
        <w:rPr>
          <w:shd w:val="clear" w:color="auto" w:fill="FFFFFF"/>
        </w:rPr>
        <w:t xml:space="preserve">, </w:t>
      </w:r>
      <w:r w:rsidR="008748AF" w:rsidRPr="001653A9">
        <w:rPr>
          <w:shd w:val="clear" w:color="auto" w:fill="FFFFFF"/>
        </w:rPr>
        <w:t>tele</w:t>
      </w:r>
      <w:r w:rsidR="00206B08" w:rsidRPr="001653A9">
        <w:rPr>
          <w:shd w:val="clear" w:color="auto" w:fill="FFFFFF"/>
        </w:rPr>
        <w:t xml:space="preserve">health systems should also be </w:t>
      </w:r>
      <w:r w:rsidR="00206B08" w:rsidRPr="000A4DE4">
        <w:rPr>
          <w:shd w:val="clear" w:color="auto" w:fill="FFFFFF"/>
        </w:rPr>
        <w:t>interoperable</w:t>
      </w:r>
      <w:r w:rsidR="00DE3ECC" w:rsidRPr="000A4DE4">
        <w:rPr>
          <w:shd w:val="clear" w:color="auto" w:fill="FFFFFF"/>
        </w:rPr>
        <w:t xml:space="preserve">, </w:t>
      </w:r>
      <w:r w:rsidR="00DE3ECC" w:rsidRPr="000A4DE4">
        <w:rPr>
          <w:i/>
          <w:iCs/>
          <w:shd w:val="clear" w:color="auto" w:fill="FFFFFF"/>
        </w:rPr>
        <w:t>i.e</w:t>
      </w:r>
      <w:r w:rsidR="00DE3ECC" w:rsidRPr="000A4DE4">
        <w:rPr>
          <w:shd w:val="clear" w:color="auto" w:fill="FFFFFF"/>
        </w:rPr>
        <w:t xml:space="preserve">., able </w:t>
      </w:r>
      <w:r w:rsidR="00DE3ECC">
        <w:rPr>
          <w:shd w:val="clear" w:color="auto" w:fill="FFFFFF"/>
        </w:rPr>
        <w:t>to share information with one another easily and securely</w:t>
      </w:r>
      <w:r w:rsidR="00206B08" w:rsidRPr="001653A9">
        <w:rPr>
          <w:shd w:val="clear" w:color="auto" w:fill="FFFFFF"/>
        </w:rPr>
        <w:t>.</w:t>
      </w:r>
      <w:r w:rsidR="0028777A" w:rsidRPr="0028777A">
        <w:rPr>
          <w:rStyle w:val="FootnoteReference"/>
        </w:rPr>
        <w:t xml:space="preserve"> </w:t>
      </w:r>
      <w:r w:rsidR="0028777A">
        <w:rPr>
          <w:rStyle w:val="FootnoteReference"/>
        </w:rPr>
        <w:footnoteReference w:id="65"/>
      </w:r>
      <w:r w:rsidR="00701FF0" w:rsidRPr="001653A9">
        <w:rPr>
          <w:shd w:val="clear" w:color="auto" w:fill="FFFFFF"/>
        </w:rPr>
        <w:t xml:space="preserve">  </w:t>
      </w:r>
      <w:r w:rsidR="00E90980" w:rsidRPr="001653A9">
        <w:rPr>
          <w:shd w:val="clear" w:color="auto" w:fill="FFFFFF"/>
        </w:rPr>
        <w:t>Interoperab</w:t>
      </w:r>
      <w:r w:rsidR="00A72844">
        <w:rPr>
          <w:shd w:val="clear" w:color="auto" w:fill="FFFFFF"/>
        </w:rPr>
        <w:t>le</w:t>
      </w:r>
      <w:r w:rsidR="00E90980" w:rsidRPr="001653A9">
        <w:rPr>
          <w:shd w:val="clear" w:color="auto" w:fill="FFFFFF"/>
        </w:rPr>
        <w:t xml:space="preserve"> </w:t>
      </w:r>
      <w:r w:rsidR="008748AF" w:rsidRPr="001653A9">
        <w:rPr>
          <w:shd w:val="clear" w:color="auto" w:fill="FFFFFF"/>
        </w:rPr>
        <w:t>health systems not only</w:t>
      </w:r>
      <w:r w:rsidR="00701FF0" w:rsidRPr="001653A9">
        <w:rPr>
          <w:shd w:val="clear" w:color="auto" w:fill="FFFFFF"/>
        </w:rPr>
        <w:t xml:space="preserve"> </w:t>
      </w:r>
      <w:r w:rsidR="00E90980" w:rsidRPr="001653A9">
        <w:rPr>
          <w:shd w:val="clear" w:color="auto" w:fill="FFFFFF"/>
        </w:rPr>
        <w:t xml:space="preserve">improve patient outcomes by </w:t>
      </w:r>
      <w:r w:rsidR="00701FF0" w:rsidRPr="001653A9">
        <w:rPr>
          <w:shd w:val="clear" w:color="auto" w:fill="FFFFFF"/>
        </w:rPr>
        <w:t>deliver</w:t>
      </w:r>
      <w:r w:rsidR="00E90980" w:rsidRPr="001653A9">
        <w:rPr>
          <w:shd w:val="clear" w:color="auto" w:fill="FFFFFF"/>
        </w:rPr>
        <w:t xml:space="preserve">ing </w:t>
      </w:r>
      <w:r w:rsidR="00701FF0" w:rsidRPr="001653A9">
        <w:rPr>
          <w:shd w:val="clear" w:color="auto" w:fill="FFFFFF"/>
        </w:rPr>
        <w:t>safe and effective care</w:t>
      </w:r>
      <w:r w:rsidR="00206B08" w:rsidRPr="001653A9">
        <w:rPr>
          <w:shd w:val="clear" w:color="auto" w:fill="FFFFFF"/>
        </w:rPr>
        <w:t xml:space="preserve"> </w:t>
      </w:r>
      <w:r w:rsidR="008748AF" w:rsidRPr="001653A9">
        <w:rPr>
          <w:shd w:val="clear" w:color="auto" w:fill="FFFFFF"/>
        </w:rPr>
        <w:t xml:space="preserve">they </w:t>
      </w:r>
      <w:r w:rsidR="00206B08" w:rsidRPr="001653A9">
        <w:rPr>
          <w:shd w:val="clear" w:color="auto" w:fill="FFFFFF"/>
        </w:rPr>
        <w:t>also help to reduce cost</w:t>
      </w:r>
      <w:r w:rsidR="00E90980" w:rsidRPr="001653A9">
        <w:rPr>
          <w:shd w:val="clear" w:color="auto" w:fill="FFFFFF"/>
        </w:rPr>
        <w:t>.</w:t>
      </w:r>
      <w:r w:rsidR="00C50B2F" w:rsidRPr="001653A9">
        <w:rPr>
          <w:shd w:val="clear" w:color="auto" w:fill="FFFFFF"/>
        </w:rPr>
        <w:t xml:space="preserve"> </w:t>
      </w:r>
      <w:r w:rsidR="00E90980" w:rsidRPr="001653A9">
        <w:rPr>
          <w:shd w:val="clear" w:color="auto" w:fill="FFFFFF"/>
        </w:rPr>
        <w:t xml:space="preserve"> </w:t>
      </w:r>
      <w:r w:rsidR="00EA3278" w:rsidRPr="001653A9">
        <w:rPr>
          <w:shd w:val="clear" w:color="auto" w:fill="FFFFFF"/>
        </w:rPr>
        <w:t>“</w:t>
      </w:r>
      <w:r w:rsidR="008748AF" w:rsidRPr="001653A9">
        <w:t xml:space="preserve">For example, interoperable systems can provide clinicians access to recent lab results, no matter their source, which can reduce unnecessary repeat testing. </w:t>
      </w:r>
      <w:r w:rsidR="00326674">
        <w:t xml:space="preserve"> </w:t>
      </w:r>
      <w:r w:rsidR="008748AF" w:rsidRPr="001653A9">
        <w:t xml:space="preserve">Access to comprehensive medication </w:t>
      </w:r>
      <w:r w:rsidR="008748AF" w:rsidRPr="00985EF6">
        <w:t xml:space="preserve">and allergy information can potentially reduce preventable adverse drug events, especially when </w:t>
      </w:r>
      <w:r w:rsidR="00DE3ECC">
        <w:t>...</w:t>
      </w:r>
      <w:r w:rsidR="008748AF" w:rsidRPr="00985EF6">
        <w:t xml:space="preserve"> patient</w:t>
      </w:r>
      <w:r w:rsidR="00DE3ECC">
        <w:t>[s] [are]</w:t>
      </w:r>
      <w:r w:rsidR="00A17264">
        <w:t xml:space="preserve"> </w:t>
      </w:r>
      <w:r w:rsidR="008748AF" w:rsidRPr="00985EF6">
        <w:t xml:space="preserve">unable to provide information themselves. </w:t>
      </w:r>
      <w:r w:rsidR="00986ECB">
        <w:t xml:space="preserve"> </w:t>
      </w:r>
      <w:r w:rsidR="008748AF" w:rsidRPr="00985EF6">
        <w:t xml:space="preserve">More detailed information can enable more comprehensive treatment plans and can affect both clinical and financial measures, such as readmission rates. </w:t>
      </w:r>
      <w:r w:rsidR="00986ECB">
        <w:t xml:space="preserve"> </w:t>
      </w:r>
      <w:r w:rsidR="008748AF" w:rsidRPr="00985EF6">
        <w:t xml:space="preserve">Another benefit is the resulting increase in productivity. </w:t>
      </w:r>
      <w:r w:rsidR="00986ECB">
        <w:t xml:space="preserve"> </w:t>
      </w:r>
      <w:r w:rsidR="008748AF" w:rsidRPr="00985EF6">
        <w:t xml:space="preserve">Without having to pull reports from multiple systems, organizations can see a rise in </w:t>
      </w:r>
      <w:r w:rsidR="00A17264">
        <w:t xml:space="preserve">… </w:t>
      </w:r>
      <w:r w:rsidR="008748AF" w:rsidRPr="00985EF6">
        <w:t>operational efficiencies.</w:t>
      </w:r>
      <w:r w:rsidR="007756B5" w:rsidRPr="00985EF6">
        <w:t>”</w:t>
      </w:r>
      <w:r w:rsidR="00EA3278" w:rsidRPr="00985EF6">
        <w:rPr>
          <w:rStyle w:val="FootnoteReference"/>
        </w:rPr>
        <w:footnoteReference w:id="66"/>
      </w:r>
    </w:p>
    <w:p w14:paraId="2A481225" w14:textId="22B02674" w:rsidR="00985EF6" w:rsidRPr="00985EF6" w:rsidRDefault="00326674" w:rsidP="004A2163">
      <w:pPr>
        <w:tabs>
          <w:tab w:val="left" w:pos="720"/>
        </w:tabs>
        <w:spacing w:before="120" w:after="120"/>
        <w:rPr>
          <w:shd w:val="clear" w:color="auto" w:fill="FFFFFF"/>
        </w:rPr>
      </w:pPr>
      <w:r>
        <w:tab/>
        <w:t>I</w:t>
      </w:r>
      <w:r w:rsidR="007756B5" w:rsidRPr="00985EF6">
        <w:t xml:space="preserve">nteroperability </w:t>
      </w:r>
      <w:r w:rsidR="00E33396" w:rsidRPr="00985EF6">
        <w:rPr>
          <w:shd w:val="clear" w:color="auto" w:fill="FFFFFF"/>
        </w:rPr>
        <w:t>makes sense as</w:t>
      </w:r>
      <w:r w:rsidR="007756B5" w:rsidRPr="00985EF6">
        <w:rPr>
          <w:shd w:val="clear" w:color="auto" w:fill="FFFFFF"/>
        </w:rPr>
        <w:t xml:space="preserve"> an essential part of </w:t>
      </w:r>
      <w:r w:rsidR="00E33396" w:rsidRPr="00985EF6">
        <w:rPr>
          <w:shd w:val="clear" w:color="auto" w:fill="FFFFFF"/>
        </w:rPr>
        <w:t xml:space="preserve">any </w:t>
      </w:r>
      <w:r w:rsidR="007756B5" w:rsidRPr="00985EF6">
        <w:rPr>
          <w:shd w:val="clear" w:color="auto" w:fill="FFFFFF"/>
        </w:rPr>
        <w:t>healthcare activit</w:t>
      </w:r>
      <w:r w:rsidR="00E33396" w:rsidRPr="00985EF6">
        <w:rPr>
          <w:shd w:val="clear" w:color="auto" w:fill="FFFFFF"/>
        </w:rPr>
        <w:t>y</w:t>
      </w:r>
      <w:r w:rsidR="007756B5" w:rsidRPr="00985EF6">
        <w:rPr>
          <w:shd w:val="clear" w:color="auto" w:fill="FFFFFF"/>
        </w:rPr>
        <w:t>, but especially</w:t>
      </w:r>
      <w:r w:rsidR="00E33396" w:rsidRPr="00985EF6">
        <w:rPr>
          <w:shd w:val="clear" w:color="auto" w:fill="FFFFFF"/>
        </w:rPr>
        <w:t xml:space="preserve"> in the </w:t>
      </w:r>
      <w:r w:rsidR="00E33396" w:rsidRPr="00985EF6">
        <w:rPr>
          <w:shd w:val="clear" w:color="auto" w:fill="FFFFFF"/>
        </w:rPr>
        <w:lastRenderedPageBreak/>
        <w:t>case of</w:t>
      </w:r>
      <w:r w:rsidR="007756B5" w:rsidRPr="00985EF6">
        <w:rPr>
          <w:shd w:val="clear" w:color="auto" w:fill="FFFFFF"/>
        </w:rPr>
        <w:t xml:space="preserve"> telehealth</w:t>
      </w:r>
      <w:r w:rsidR="00303F03">
        <w:rPr>
          <w:shd w:val="clear" w:color="auto" w:fill="FFFFFF"/>
        </w:rPr>
        <w:t>,</w:t>
      </w:r>
      <w:r w:rsidR="007756B5" w:rsidRPr="00985EF6">
        <w:rPr>
          <w:shd w:val="clear" w:color="auto" w:fill="FFFFFF"/>
        </w:rPr>
        <w:t xml:space="preserve"> because of its reliance on data sharing.</w:t>
      </w:r>
      <w:r w:rsidR="00985EF6" w:rsidRPr="00985EF6">
        <w:rPr>
          <w:shd w:val="clear" w:color="auto" w:fill="FFFFFF"/>
        </w:rPr>
        <w:t xml:space="preserve">  </w:t>
      </w:r>
      <w:r w:rsidR="00985EF6" w:rsidRPr="00985EF6">
        <w:t>Providers</w:t>
      </w:r>
      <w:r w:rsidR="00985EF6" w:rsidRPr="00985EF6">
        <w:rPr>
          <w:spacing w:val="-3"/>
        </w:rPr>
        <w:t xml:space="preserve"> </w:t>
      </w:r>
      <w:r w:rsidR="00985EF6" w:rsidRPr="00985EF6">
        <w:t>must</w:t>
      </w:r>
      <w:r w:rsidR="00985EF6" w:rsidRPr="00985EF6">
        <w:rPr>
          <w:spacing w:val="-3"/>
        </w:rPr>
        <w:t xml:space="preserve"> </w:t>
      </w:r>
      <w:r w:rsidR="00985EF6" w:rsidRPr="00985EF6">
        <w:t>ensure</w:t>
      </w:r>
      <w:r w:rsidR="00985EF6" w:rsidRPr="00985EF6">
        <w:rPr>
          <w:spacing w:val="-2"/>
        </w:rPr>
        <w:t xml:space="preserve"> </w:t>
      </w:r>
      <w:r w:rsidR="00985EF6" w:rsidRPr="00985EF6">
        <w:t>that</w:t>
      </w:r>
      <w:r w:rsidR="00985EF6" w:rsidRPr="00985EF6">
        <w:rPr>
          <w:spacing w:val="-3"/>
        </w:rPr>
        <w:t xml:space="preserve"> </w:t>
      </w:r>
      <w:r w:rsidR="00985EF6" w:rsidRPr="00985EF6">
        <w:t>any</w:t>
      </w:r>
      <w:r w:rsidR="00985EF6" w:rsidRPr="00985EF6">
        <w:rPr>
          <w:spacing w:val="-1"/>
        </w:rPr>
        <w:t xml:space="preserve"> </w:t>
      </w:r>
      <w:r w:rsidR="00985EF6" w:rsidRPr="00985EF6">
        <w:t>equipment</w:t>
      </w:r>
      <w:r w:rsidR="00985EF6" w:rsidRPr="00985EF6">
        <w:rPr>
          <w:spacing w:val="-1"/>
        </w:rPr>
        <w:t xml:space="preserve"> </w:t>
      </w:r>
      <w:r w:rsidR="00985EF6" w:rsidRPr="00985EF6">
        <w:t>they</w:t>
      </w:r>
      <w:r w:rsidR="00985EF6" w:rsidRPr="00985EF6">
        <w:rPr>
          <w:spacing w:val="-1"/>
        </w:rPr>
        <w:t xml:space="preserve"> </w:t>
      </w:r>
      <w:r w:rsidR="00985EF6" w:rsidRPr="00985EF6">
        <w:t>purchase</w:t>
      </w:r>
      <w:r w:rsidR="00985EF6" w:rsidRPr="00985EF6">
        <w:rPr>
          <w:spacing w:val="1"/>
        </w:rPr>
        <w:t xml:space="preserve"> </w:t>
      </w:r>
      <w:r w:rsidR="00985EF6" w:rsidRPr="00985EF6">
        <w:t>is</w:t>
      </w:r>
      <w:r w:rsidR="00985EF6" w:rsidRPr="00985EF6">
        <w:rPr>
          <w:spacing w:val="-3"/>
        </w:rPr>
        <w:t xml:space="preserve"> </w:t>
      </w:r>
      <w:r w:rsidR="00985EF6" w:rsidRPr="00985EF6">
        <w:t>interoperable</w:t>
      </w:r>
      <w:r w:rsidR="00985EF6" w:rsidRPr="00985EF6">
        <w:rPr>
          <w:spacing w:val="-2"/>
        </w:rPr>
        <w:t xml:space="preserve"> </w:t>
      </w:r>
      <w:r w:rsidR="00985EF6" w:rsidRPr="00985EF6">
        <w:t>and meets</w:t>
      </w:r>
      <w:r w:rsidR="00985EF6" w:rsidRPr="00985EF6">
        <w:rPr>
          <w:spacing w:val="-3"/>
        </w:rPr>
        <w:t xml:space="preserve"> industry standards</w:t>
      </w:r>
      <w:r w:rsidR="00985EF6" w:rsidRPr="00985EF6">
        <w:rPr>
          <w:spacing w:val="-2"/>
        </w:rPr>
        <w:t xml:space="preserve"> </w:t>
      </w:r>
      <w:r w:rsidR="00985EF6" w:rsidRPr="00985EF6">
        <w:t>and can</w:t>
      </w:r>
      <w:r w:rsidR="00985EF6" w:rsidRPr="00985EF6">
        <w:rPr>
          <w:spacing w:val="-1"/>
        </w:rPr>
        <w:t xml:space="preserve"> </w:t>
      </w:r>
      <w:r w:rsidR="00985EF6" w:rsidRPr="00985EF6">
        <w:t>be</w:t>
      </w:r>
      <w:r w:rsidR="00985EF6" w:rsidRPr="00985EF6">
        <w:rPr>
          <w:spacing w:val="-2"/>
        </w:rPr>
        <w:t xml:space="preserve"> </w:t>
      </w:r>
      <w:r w:rsidR="00985EF6" w:rsidRPr="00985EF6">
        <w:t>used to connect</w:t>
      </w:r>
      <w:r w:rsidR="00985EF6" w:rsidRPr="00985EF6">
        <w:rPr>
          <w:spacing w:val="-2"/>
        </w:rPr>
        <w:t xml:space="preserve"> </w:t>
      </w:r>
      <w:r w:rsidR="00985EF6" w:rsidRPr="00985EF6">
        <w:t>to</w:t>
      </w:r>
      <w:r w:rsidR="00985EF6" w:rsidRPr="00985EF6">
        <w:rPr>
          <w:spacing w:val="-1"/>
        </w:rPr>
        <w:t xml:space="preserve"> </w:t>
      </w:r>
      <w:r w:rsidR="00985EF6" w:rsidRPr="00985EF6">
        <w:t>multiple</w:t>
      </w:r>
      <w:r w:rsidR="00985EF6" w:rsidRPr="00985EF6">
        <w:rPr>
          <w:spacing w:val="3"/>
        </w:rPr>
        <w:t xml:space="preserve"> </w:t>
      </w:r>
      <w:r w:rsidR="00985EF6" w:rsidRPr="00985EF6">
        <w:t xml:space="preserve">telemedicine platforms.  </w:t>
      </w:r>
      <w:r>
        <w:t>Equipment and software must be</w:t>
      </w:r>
      <w:r>
        <w:rPr>
          <w:spacing w:val="1"/>
        </w:rPr>
        <w:t xml:space="preserve"> </w:t>
      </w:r>
      <w:r>
        <w:t xml:space="preserve">interoperable, and ideally, equipment owned by one provider should be able to be accessed by other authorized providers. </w:t>
      </w:r>
      <w:r>
        <w:rPr>
          <w:spacing w:val="51"/>
        </w:rPr>
        <w:t xml:space="preserve"> </w:t>
      </w:r>
      <w:r w:rsidR="00985EF6" w:rsidRPr="00985EF6">
        <w:t>To</w:t>
      </w:r>
      <w:r w:rsidR="00985EF6" w:rsidRPr="00985EF6">
        <w:rPr>
          <w:spacing w:val="-2"/>
        </w:rPr>
        <w:t xml:space="preserve"> </w:t>
      </w:r>
      <w:r w:rsidR="00985EF6" w:rsidRPr="00985EF6">
        <w:t>be</w:t>
      </w:r>
      <w:r w:rsidR="00985EF6" w:rsidRPr="00985EF6">
        <w:rPr>
          <w:spacing w:val="-2"/>
        </w:rPr>
        <w:t xml:space="preserve"> </w:t>
      </w:r>
      <w:r w:rsidR="00985EF6" w:rsidRPr="00985EF6">
        <w:t>considered</w:t>
      </w:r>
      <w:r w:rsidR="00985EF6" w:rsidRPr="00985EF6">
        <w:rPr>
          <w:spacing w:val="-3"/>
        </w:rPr>
        <w:t xml:space="preserve"> </w:t>
      </w:r>
      <w:r w:rsidR="00985EF6" w:rsidRPr="00985EF6">
        <w:t>interoperable, software</w:t>
      </w:r>
      <w:r w:rsidR="00985EF6" w:rsidRPr="00985EF6">
        <w:rPr>
          <w:spacing w:val="-3"/>
        </w:rPr>
        <w:t xml:space="preserve"> </w:t>
      </w:r>
      <w:r w:rsidR="00985EF6" w:rsidRPr="00985EF6">
        <w:t>vendors</w:t>
      </w:r>
      <w:r w:rsidR="00985EF6" w:rsidRPr="00985EF6">
        <w:rPr>
          <w:spacing w:val="-2"/>
        </w:rPr>
        <w:t xml:space="preserve"> </w:t>
      </w:r>
      <w:r w:rsidR="00985EF6" w:rsidRPr="00985EF6">
        <w:t>should</w:t>
      </w:r>
      <w:r w:rsidR="00985EF6" w:rsidRPr="00985EF6">
        <w:rPr>
          <w:spacing w:val="-1"/>
        </w:rPr>
        <w:t xml:space="preserve"> </w:t>
      </w:r>
      <w:r w:rsidR="00985EF6" w:rsidRPr="00985EF6">
        <w:t>be</w:t>
      </w:r>
      <w:r w:rsidR="00985EF6" w:rsidRPr="00985EF6">
        <w:rPr>
          <w:spacing w:val="-3"/>
        </w:rPr>
        <w:t xml:space="preserve"> </w:t>
      </w:r>
      <w:r w:rsidR="00985EF6" w:rsidRPr="00985EF6">
        <w:t>required</w:t>
      </w:r>
      <w:r w:rsidR="00985EF6" w:rsidRPr="00985EF6">
        <w:rPr>
          <w:spacing w:val="-1"/>
        </w:rPr>
        <w:t xml:space="preserve"> </w:t>
      </w:r>
      <w:r w:rsidR="00985EF6" w:rsidRPr="00985EF6">
        <w:t>to</w:t>
      </w:r>
      <w:r w:rsidR="00985EF6" w:rsidRPr="00985EF6">
        <w:rPr>
          <w:spacing w:val="1"/>
        </w:rPr>
        <w:t xml:space="preserve"> </w:t>
      </w:r>
      <w:r w:rsidR="00985EF6" w:rsidRPr="00985EF6">
        <w:t>open</w:t>
      </w:r>
      <w:r w:rsidR="00985EF6" w:rsidRPr="00985EF6">
        <w:rPr>
          <w:spacing w:val="-1"/>
        </w:rPr>
        <w:t xml:space="preserve"> </w:t>
      </w:r>
      <w:r w:rsidR="00985EF6" w:rsidRPr="00985EF6">
        <w:t>their</w:t>
      </w:r>
      <w:r w:rsidR="00985EF6" w:rsidRPr="00985EF6">
        <w:rPr>
          <w:spacing w:val="-2"/>
        </w:rPr>
        <w:t xml:space="preserve"> </w:t>
      </w:r>
      <w:r w:rsidR="00985EF6" w:rsidRPr="00985EF6">
        <w:t>systems</w:t>
      </w:r>
      <w:r w:rsidR="00985EF6" w:rsidRPr="00985EF6">
        <w:rPr>
          <w:spacing w:val="-3"/>
        </w:rPr>
        <w:t xml:space="preserve"> to communicate </w:t>
      </w:r>
      <w:r w:rsidR="00985EF6" w:rsidRPr="00985EF6">
        <w:t>patient</w:t>
      </w:r>
      <w:r w:rsidR="00985EF6" w:rsidRPr="00985EF6">
        <w:rPr>
          <w:spacing w:val="-1"/>
        </w:rPr>
        <w:t xml:space="preserve"> </w:t>
      </w:r>
      <w:r w:rsidR="00985EF6" w:rsidRPr="00985EF6">
        <w:t>information electronically.</w:t>
      </w:r>
    </w:p>
    <w:p w14:paraId="4B41D861" w14:textId="7405D909" w:rsidR="00AC284B" w:rsidRDefault="00E33396" w:rsidP="004A2163">
      <w:pPr>
        <w:pStyle w:val="NormalWeb"/>
        <w:shd w:val="clear" w:color="auto" w:fill="FFFFFF"/>
        <w:spacing w:before="120" w:beforeAutospacing="0" w:after="120" w:afterAutospacing="0"/>
        <w:rPr>
          <w:sz w:val="22"/>
          <w:szCs w:val="22"/>
        </w:rPr>
      </w:pPr>
      <w:r w:rsidRPr="00985EF6">
        <w:rPr>
          <w:shd w:val="clear" w:color="auto" w:fill="FFFFFF"/>
        </w:rPr>
        <w:tab/>
      </w:r>
      <w:r w:rsidR="00E7273C" w:rsidRPr="00985EF6">
        <w:rPr>
          <w:sz w:val="22"/>
          <w:szCs w:val="22"/>
          <w:shd w:val="clear" w:color="auto" w:fill="FFFFFF"/>
        </w:rPr>
        <w:t xml:space="preserve">Increasing telehealth care brings about the need for healthcare providers to invest in telehealth software solutions.  </w:t>
      </w:r>
      <w:r w:rsidR="007F4B8A" w:rsidRPr="00985EF6">
        <w:rPr>
          <w:sz w:val="22"/>
          <w:szCs w:val="22"/>
        </w:rPr>
        <w:t xml:space="preserve">Although we primarily associate telehealth care </w:t>
      </w:r>
      <w:r w:rsidR="007F4B8A" w:rsidRPr="00057C3F">
        <w:rPr>
          <w:sz w:val="22"/>
          <w:szCs w:val="22"/>
        </w:rPr>
        <w:t>with video doctor visits, telehealth can encompass a broad range of remote care services and related activities</w:t>
      </w:r>
      <w:r w:rsidR="00AC284B">
        <w:rPr>
          <w:sz w:val="22"/>
          <w:szCs w:val="22"/>
        </w:rPr>
        <w:t>,</w:t>
      </w:r>
      <w:r w:rsidR="007F4B8A" w:rsidRPr="00057C3F">
        <w:rPr>
          <w:sz w:val="22"/>
          <w:szCs w:val="22"/>
        </w:rPr>
        <w:t xml:space="preserve"> including voice and text chats, transmission of data, visit scheduling, remote patient monitoring, lab test ordering, e-prescribing and prescription refills, billing</w:t>
      </w:r>
      <w:r w:rsidR="00303F03">
        <w:rPr>
          <w:sz w:val="22"/>
          <w:szCs w:val="22"/>
        </w:rPr>
        <w:t>,</w:t>
      </w:r>
      <w:r w:rsidR="007F4B8A" w:rsidRPr="00057C3F">
        <w:rPr>
          <w:sz w:val="22"/>
          <w:szCs w:val="22"/>
        </w:rPr>
        <w:t xml:space="preserve"> and more.</w:t>
      </w:r>
      <w:r w:rsidR="00D8697E">
        <w:rPr>
          <w:rStyle w:val="FootnoteReference"/>
          <w:sz w:val="22"/>
          <w:szCs w:val="22"/>
        </w:rPr>
        <w:footnoteReference w:id="67"/>
      </w:r>
      <w:r w:rsidR="007F4B8A" w:rsidRPr="00057C3F">
        <w:rPr>
          <w:sz w:val="22"/>
          <w:szCs w:val="22"/>
        </w:rPr>
        <w:t xml:space="preserve">  To implement</w:t>
      </w:r>
      <w:r w:rsidR="00AC284B">
        <w:rPr>
          <w:sz w:val="22"/>
          <w:szCs w:val="22"/>
        </w:rPr>
        <w:t xml:space="preserve"> and support</w:t>
      </w:r>
      <w:r w:rsidR="007F4B8A" w:rsidRPr="00057C3F">
        <w:rPr>
          <w:sz w:val="22"/>
          <w:szCs w:val="22"/>
        </w:rPr>
        <w:t xml:space="preserve"> these </w:t>
      </w:r>
      <w:r w:rsidR="009F3182" w:rsidRPr="00057C3F">
        <w:rPr>
          <w:sz w:val="22"/>
          <w:szCs w:val="22"/>
        </w:rPr>
        <w:t>services</w:t>
      </w:r>
      <w:r w:rsidR="007F4B8A" w:rsidRPr="00057C3F">
        <w:rPr>
          <w:sz w:val="22"/>
          <w:szCs w:val="22"/>
        </w:rPr>
        <w:t xml:space="preserve">, many </w:t>
      </w:r>
      <w:r w:rsidR="007F4B8A" w:rsidRPr="00057C3F">
        <w:rPr>
          <w:sz w:val="22"/>
          <w:szCs w:val="22"/>
          <w:shd w:val="clear" w:color="auto" w:fill="FFFFFF"/>
        </w:rPr>
        <w:t xml:space="preserve">providers rely </w:t>
      </w:r>
      <w:r w:rsidR="00AC284B">
        <w:rPr>
          <w:sz w:val="22"/>
          <w:szCs w:val="22"/>
          <w:shd w:val="clear" w:color="auto" w:fill="FFFFFF"/>
        </w:rPr>
        <w:t>up</w:t>
      </w:r>
      <w:r w:rsidR="009F3182" w:rsidRPr="00057C3F">
        <w:rPr>
          <w:sz w:val="22"/>
          <w:szCs w:val="22"/>
          <w:shd w:val="clear" w:color="auto" w:fill="FFFFFF"/>
        </w:rPr>
        <w:t xml:space="preserve">on </w:t>
      </w:r>
      <w:r w:rsidR="007F4B8A" w:rsidRPr="00057C3F">
        <w:rPr>
          <w:sz w:val="22"/>
          <w:szCs w:val="22"/>
          <w:shd w:val="clear" w:color="auto" w:fill="FFFFFF"/>
        </w:rPr>
        <w:t>mobile health apps, patient web-portals, and existing hospital systems augmented with telehealth functionalit</w:t>
      </w:r>
      <w:r w:rsidR="009F3182" w:rsidRPr="00057C3F">
        <w:rPr>
          <w:sz w:val="22"/>
          <w:szCs w:val="22"/>
          <w:shd w:val="clear" w:color="auto" w:fill="FFFFFF"/>
        </w:rPr>
        <w:t>ies, for example</w:t>
      </w:r>
      <w:r w:rsidR="007F4B8A" w:rsidRPr="00057C3F">
        <w:rPr>
          <w:sz w:val="22"/>
          <w:szCs w:val="22"/>
          <w:shd w:val="clear" w:color="auto" w:fill="FFFFFF"/>
        </w:rPr>
        <w:t>.</w:t>
      </w:r>
    </w:p>
    <w:p w14:paraId="6198E743" w14:textId="4B1D9910" w:rsidR="00F87FC3" w:rsidRPr="00F87FC3" w:rsidRDefault="00F14BC1" w:rsidP="00D8697E">
      <w:pPr>
        <w:pStyle w:val="NormalWeb"/>
        <w:shd w:val="clear" w:color="auto" w:fill="FFFFFF"/>
        <w:spacing w:before="120" w:beforeAutospacing="0" w:after="120" w:afterAutospacing="0"/>
        <w:ind w:firstLine="720"/>
        <w:rPr>
          <w:sz w:val="22"/>
          <w:szCs w:val="22"/>
        </w:rPr>
      </w:pPr>
      <w:r w:rsidRPr="001D7A89">
        <w:rPr>
          <w:sz w:val="22"/>
          <w:szCs w:val="22"/>
        </w:rPr>
        <w:t xml:space="preserve">In this environment, </w:t>
      </w:r>
      <w:hyperlink r:id="rId13" w:history="1">
        <w:r w:rsidR="009F3182" w:rsidRPr="001D7A89">
          <w:rPr>
            <w:rStyle w:val="Hyperlink"/>
            <w:color w:val="auto"/>
            <w:sz w:val="22"/>
            <w:szCs w:val="22"/>
            <w:u w:val="none"/>
          </w:rPr>
          <w:t>APIs</w:t>
        </w:r>
      </w:hyperlink>
      <w:r w:rsidR="00BC7878">
        <w:rPr>
          <w:rStyle w:val="Hyperlink"/>
          <w:color w:val="auto"/>
          <w:sz w:val="22"/>
          <w:szCs w:val="22"/>
          <w:u w:val="none"/>
        </w:rPr>
        <w:t xml:space="preserve"> </w:t>
      </w:r>
      <w:r w:rsidR="009F3182" w:rsidRPr="001D7A89">
        <w:rPr>
          <w:sz w:val="22"/>
          <w:szCs w:val="22"/>
        </w:rPr>
        <w:t>have become an essential part of telehealth.</w:t>
      </w:r>
      <w:r w:rsidRPr="001D7A89">
        <w:rPr>
          <w:sz w:val="22"/>
          <w:szCs w:val="22"/>
        </w:rPr>
        <w:t xml:space="preserve"> </w:t>
      </w:r>
      <w:r w:rsidR="009F3182" w:rsidRPr="001D7A89">
        <w:rPr>
          <w:sz w:val="22"/>
          <w:szCs w:val="22"/>
        </w:rPr>
        <w:t xml:space="preserve"> </w:t>
      </w:r>
      <w:r w:rsidR="00057C3F" w:rsidRPr="001D7A89">
        <w:rPr>
          <w:sz w:val="22"/>
          <w:szCs w:val="22"/>
        </w:rPr>
        <w:t>APIs “</w:t>
      </w:r>
      <w:r w:rsidR="009F3182" w:rsidRPr="001D7A89">
        <w:rPr>
          <w:sz w:val="22"/>
          <w:szCs w:val="22"/>
        </w:rPr>
        <w:t>enable</w:t>
      </w:r>
      <w:r w:rsidR="00B254F0">
        <w:rPr>
          <w:sz w:val="22"/>
          <w:szCs w:val="22"/>
        </w:rPr>
        <w:t xml:space="preserve"> </w:t>
      </w:r>
      <w:hyperlink r:id="rId14" w:history="1">
        <w:r w:rsidR="009F3182" w:rsidRPr="001D7A89">
          <w:rPr>
            <w:rStyle w:val="Hyperlink"/>
            <w:color w:val="auto"/>
            <w:sz w:val="22"/>
            <w:szCs w:val="22"/>
            <w:u w:val="none"/>
          </w:rPr>
          <w:t>interoperability</w:t>
        </w:r>
      </w:hyperlink>
      <w:r w:rsidR="00B254F0">
        <w:rPr>
          <w:sz w:val="22"/>
          <w:szCs w:val="22"/>
        </w:rPr>
        <w:t xml:space="preserve"> </w:t>
      </w:r>
      <w:r w:rsidR="009F3182" w:rsidRPr="001D7A89">
        <w:rPr>
          <w:sz w:val="22"/>
          <w:szCs w:val="22"/>
        </w:rPr>
        <w:t>or smooth data exchange between health systems and create fertile ground for telehealth app development</w:t>
      </w:r>
      <w:r w:rsidR="00057C3F" w:rsidRPr="001D7A89">
        <w:rPr>
          <w:sz w:val="22"/>
          <w:szCs w:val="22"/>
        </w:rPr>
        <w:t>.”</w:t>
      </w:r>
      <w:r w:rsidR="0043727A" w:rsidRPr="00057C3F">
        <w:rPr>
          <w:rStyle w:val="FootnoteReference"/>
          <w:sz w:val="22"/>
          <w:szCs w:val="22"/>
        </w:rPr>
        <w:footnoteReference w:id="68"/>
      </w:r>
      <w:r w:rsidR="0043727A" w:rsidRPr="00057C3F">
        <w:rPr>
          <w:sz w:val="22"/>
          <w:szCs w:val="22"/>
        </w:rPr>
        <w:t xml:space="preserve"> </w:t>
      </w:r>
      <w:r w:rsidR="00057C3F" w:rsidRPr="001D7A89">
        <w:rPr>
          <w:sz w:val="22"/>
          <w:szCs w:val="22"/>
        </w:rPr>
        <w:t xml:space="preserve"> </w:t>
      </w:r>
      <w:r w:rsidRPr="001D7A89">
        <w:rPr>
          <w:sz w:val="22"/>
          <w:szCs w:val="22"/>
        </w:rPr>
        <w:t xml:space="preserve">Generally, </w:t>
      </w:r>
      <w:r w:rsidR="00057C3F" w:rsidRPr="001D7A89">
        <w:rPr>
          <w:sz w:val="22"/>
          <w:szCs w:val="22"/>
        </w:rPr>
        <w:t>APIs, among other things, give</w:t>
      </w:r>
      <w:r w:rsidR="009F3182" w:rsidRPr="001D7A89">
        <w:rPr>
          <w:sz w:val="22"/>
          <w:szCs w:val="22"/>
        </w:rPr>
        <w:t xml:space="preserve"> access to a range of services that can be implemented into software within a few days or weeks</w:t>
      </w:r>
      <w:r w:rsidRPr="001D7A89">
        <w:rPr>
          <w:sz w:val="22"/>
          <w:szCs w:val="22"/>
        </w:rPr>
        <w:t>,</w:t>
      </w:r>
      <w:r w:rsidR="00057C3F" w:rsidRPr="001D7A89">
        <w:rPr>
          <w:sz w:val="22"/>
          <w:szCs w:val="22"/>
        </w:rPr>
        <w:t xml:space="preserve"> c</w:t>
      </w:r>
      <w:r w:rsidR="009F3182" w:rsidRPr="001D7A89">
        <w:rPr>
          <w:sz w:val="22"/>
          <w:szCs w:val="22"/>
        </w:rPr>
        <w:t xml:space="preserve">onnect to different types of clinical data, </w:t>
      </w:r>
      <w:r w:rsidR="00057C3F" w:rsidRPr="001D7A89">
        <w:rPr>
          <w:sz w:val="22"/>
          <w:szCs w:val="22"/>
        </w:rPr>
        <w:t>s</w:t>
      </w:r>
      <w:r w:rsidR="009F3182" w:rsidRPr="001D7A89">
        <w:rPr>
          <w:sz w:val="22"/>
          <w:szCs w:val="22"/>
        </w:rPr>
        <w:t>upport a common “language” of machine-to-machine communication</w:t>
      </w:r>
      <w:r w:rsidRPr="001D7A89">
        <w:rPr>
          <w:sz w:val="22"/>
          <w:szCs w:val="22"/>
        </w:rPr>
        <w:t>, and take care of HIPAA</w:t>
      </w:r>
      <w:r w:rsidR="00AB4C0C">
        <w:rPr>
          <w:rStyle w:val="FootnoteReference"/>
          <w:sz w:val="22"/>
          <w:szCs w:val="22"/>
        </w:rPr>
        <w:footnoteReference w:id="69"/>
      </w:r>
      <w:r w:rsidRPr="001D7A89">
        <w:rPr>
          <w:sz w:val="22"/>
          <w:szCs w:val="22"/>
        </w:rPr>
        <w:t xml:space="preserve"> compliance</w:t>
      </w:r>
      <w:r w:rsidR="009F3182" w:rsidRPr="001D7A89">
        <w:rPr>
          <w:sz w:val="22"/>
          <w:szCs w:val="22"/>
        </w:rPr>
        <w:t xml:space="preserve">. </w:t>
      </w:r>
      <w:r w:rsidR="00294F6C">
        <w:rPr>
          <w:sz w:val="22"/>
          <w:szCs w:val="22"/>
        </w:rPr>
        <w:t xml:space="preserve"> </w:t>
      </w:r>
      <w:r w:rsidR="001653A9" w:rsidRPr="001D7A89">
        <w:rPr>
          <w:sz w:val="22"/>
          <w:szCs w:val="22"/>
          <w:shd w:val="clear" w:color="auto" w:fill="FFFFFF"/>
        </w:rPr>
        <w:t xml:space="preserve">APIs can cut down on expenses and </w:t>
      </w:r>
      <w:r w:rsidR="00E7273C" w:rsidRPr="001D7A89">
        <w:rPr>
          <w:sz w:val="22"/>
          <w:szCs w:val="22"/>
          <w:shd w:val="clear" w:color="auto" w:fill="FFFFFF"/>
        </w:rPr>
        <w:t xml:space="preserve">significantly </w:t>
      </w:r>
      <w:r w:rsidR="001653A9" w:rsidRPr="001D7A89">
        <w:rPr>
          <w:sz w:val="22"/>
          <w:szCs w:val="22"/>
          <w:shd w:val="clear" w:color="auto" w:fill="FFFFFF"/>
        </w:rPr>
        <w:t>reduce development</w:t>
      </w:r>
      <w:r w:rsidR="00BC7878">
        <w:rPr>
          <w:sz w:val="22"/>
          <w:szCs w:val="22"/>
          <w:shd w:val="clear" w:color="auto" w:fill="FFFFFF"/>
        </w:rPr>
        <w:t xml:space="preserve"> costs</w:t>
      </w:r>
      <w:r w:rsidR="00E33396" w:rsidRPr="001D7A89">
        <w:rPr>
          <w:sz w:val="22"/>
          <w:szCs w:val="22"/>
          <w:shd w:val="clear" w:color="auto" w:fill="FFFFFF"/>
        </w:rPr>
        <w:t>.</w:t>
      </w:r>
      <w:r w:rsidR="001D7A89">
        <w:rPr>
          <w:sz w:val="22"/>
          <w:szCs w:val="22"/>
          <w:shd w:val="clear" w:color="auto" w:fill="FFFFFF"/>
        </w:rPr>
        <w:t xml:space="preserve">  To further maximize the benefits of APIs to telehealth, </w:t>
      </w:r>
      <w:r w:rsidR="005D2103" w:rsidRPr="001D7A89">
        <w:rPr>
          <w:sz w:val="22"/>
          <w:szCs w:val="22"/>
        </w:rPr>
        <w:t>d</w:t>
      </w:r>
      <w:r w:rsidR="00EF67E9" w:rsidRPr="001D7A89">
        <w:rPr>
          <w:sz w:val="22"/>
          <w:szCs w:val="22"/>
        </w:rPr>
        <w:t>ata and documents should be able to be transferred in multiple formats and structures in</w:t>
      </w:r>
      <w:r w:rsidR="00EF67E9" w:rsidRPr="001D7A89">
        <w:rPr>
          <w:spacing w:val="1"/>
          <w:sz w:val="22"/>
          <w:szCs w:val="22"/>
        </w:rPr>
        <w:t xml:space="preserve"> </w:t>
      </w:r>
      <w:r w:rsidR="00EF67E9" w:rsidRPr="001D7A89">
        <w:rPr>
          <w:sz w:val="22"/>
          <w:szCs w:val="22"/>
        </w:rPr>
        <w:t xml:space="preserve">order to be operable in various </w:t>
      </w:r>
      <w:r w:rsidR="000D63F3" w:rsidRPr="00057C3F">
        <w:rPr>
          <w:sz w:val="22"/>
          <w:szCs w:val="22"/>
          <w:shd w:val="clear" w:color="auto" w:fill="FFFFFF"/>
        </w:rPr>
        <w:t>mobile health apps, patient web-portals, and hospital systems</w:t>
      </w:r>
      <w:r w:rsidR="00EF67E9" w:rsidRPr="001D7A89">
        <w:rPr>
          <w:sz w:val="22"/>
          <w:szCs w:val="22"/>
        </w:rPr>
        <w:t>, rather than in the</w:t>
      </w:r>
      <w:r w:rsidR="00EF67E9" w:rsidRPr="001D7A89">
        <w:rPr>
          <w:spacing w:val="-3"/>
          <w:sz w:val="22"/>
          <w:szCs w:val="22"/>
        </w:rPr>
        <w:t xml:space="preserve"> </w:t>
      </w:r>
      <w:r w:rsidR="00EF67E9" w:rsidRPr="001D7A89">
        <w:rPr>
          <w:sz w:val="22"/>
          <w:szCs w:val="22"/>
        </w:rPr>
        <w:t>prevailing</w:t>
      </w:r>
      <w:r w:rsidR="00EF67E9" w:rsidRPr="001D7A89">
        <w:rPr>
          <w:spacing w:val="-2"/>
          <w:sz w:val="22"/>
          <w:szCs w:val="22"/>
        </w:rPr>
        <w:t xml:space="preserve"> </w:t>
      </w:r>
      <w:r w:rsidR="00EF67E9" w:rsidRPr="001D7A89">
        <w:rPr>
          <w:sz w:val="22"/>
          <w:szCs w:val="22"/>
        </w:rPr>
        <w:t>“PDF”</w:t>
      </w:r>
      <w:r w:rsidR="00EF67E9" w:rsidRPr="001D7A89">
        <w:rPr>
          <w:spacing w:val="-2"/>
          <w:sz w:val="22"/>
          <w:szCs w:val="22"/>
        </w:rPr>
        <w:t xml:space="preserve"> </w:t>
      </w:r>
      <w:r w:rsidR="00EF67E9" w:rsidRPr="001D7A89">
        <w:rPr>
          <w:sz w:val="22"/>
          <w:szCs w:val="22"/>
        </w:rPr>
        <w:t>format</w:t>
      </w:r>
      <w:r w:rsidR="000D63F3">
        <w:rPr>
          <w:sz w:val="22"/>
          <w:szCs w:val="22"/>
        </w:rPr>
        <w:t xml:space="preserve">.  This will </w:t>
      </w:r>
      <w:r w:rsidR="00EF67E9" w:rsidRPr="001D7A89">
        <w:rPr>
          <w:sz w:val="22"/>
          <w:szCs w:val="22"/>
        </w:rPr>
        <w:t>allow</w:t>
      </w:r>
      <w:r w:rsidR="00EF67E9" w:rsidRPr="001D7A89">
        <w:rPr>
          <w:spacing w:val="-2"/>
          <w:sz w:val="22"/>
          <w:szCs w:val="22"/>
        </w:rPr>
        <w:t xml:space="preserve"> </w:t>
      </w:r>
      <w:r w:rsidR="00EF67E9" w:rsidRPr="001D7A89">
        <w:rPr>
          <w:sz w:val="22"/>
          <w:szCs w:val="22"/>
        </w:rPr>
        <w:t>electronic</w:t>
      </w:r>
      <w:r w:rsidR="00EF67E9" w:rsidRPr="001D7A89">
        <w:rPr>
          <w:spacing w:val="-2"/>
          <w:sz w:val="22"/>
          <w:szCs w:val="22"/>
        </w:rPr>
        <w:t xml:space="preserve"> </w:t>
      </w:r>
      <w:r w:rsidR="00EF67E9" w:rsidRPr="001D7A89">
        <w:rPr>
          <w:sz w:val="22"/>
          <w:szCs w:val="22"/>
        </w:rPr>
        <w:t>transfer</w:t>
      </w:r>
      <w:r w:rsidR="00EF67E9" w:rsidRPr="001D7A89">
        <w:rPr>
          <w:spacing w:val="-2"/>
          <w:sz w:val="22"/>
          <w:szCs w:val="22"/>
        </w:rPr>
        <w:t xml:space="preserve"> </w:t>
      </w:r>
      <w:r w:rsidR="00EF67E9" w:rsidRPr="001D7A89">
        <w:rPr>
          <w:sz w:val="22"/>
          <w:szCs w:val="22"/>
        </w:rPr>
        <w:t>with</w:t>
      </w:r>
      <w:r w:rsidR="00EF67E9" w:rsidRPr="001D7A89">
        <w:rPr>
          <w:spacing w:val="-1"/>
          <w:sz w:val="22"/>
          <w:szCs w:val="22"/>
        </w:rPr>
        <w:t xml:space="preserve"> </w:t>
      </w:r>
      <w:r w:rsidR="00EF67E9" w:rsidRPr="001D7A89">
        <w:rPr>
          <w:sz w:val="22"/>
          <w:szCs w:val="22"/>
        </w:rPr>
        <w:t>full</w:t>
      </w:r>
      <w:r w:rsidR="00EF67E9" w:rsidRPr="001D7A89">
        <w:rPr>
          <w:spacing w:val="-2"/>
          <w:sz w:val="22"/>
          <w:szCs w:val="22"/>
        </w:rPr>
        <w:t xml:space="preserve"> </w:t>
      </w:r>
      <w:r w:rsidR="00EF67E9" w:rsidRPr="001D7A89">
        <w:rPr>
          <w:sz w:val="22"/>
          <w:szCs w:val="22"/>
        </w:rPr>
        <w:t>interoperability</w:t>
      </w:r>
      <w:r w:rsidR="00EF67E9" w:rsidRPr="001D7A89">
        <w:rPr>
          <w:spacing w:val="-1"/>
          <w:sz w:val="22"/>
          <w:szCs w:val="22"/>
        </w:rPr>
        <w:t xml:space="preserve"> </w:t>
      </w:r>
      <w:r w:rsidR="00EF67E9" w:rsidRPr="001D7A89">
        <w:rPr>
          <w:sz w:val="22"/>
          <w:szCs w:val="22"/>
        </w:rPr>
        <w:t>and</w:t>
      </w:r>
      <w:r w:rsidR="00EF67E9" w:rsidRPr="001D7A89">
        <w:rPr>
          <w:spacing w:val="-1"/>
          <w:sz w:val="22"/>
          <w:szCs w:val="22"/>
        </w:rPr>
        <w:t xml:space="preserve"> </w:t>
      </w:r>
      <w:r w:rsidR="00EF67E9" w:rsidRPr="001D7A89">
        <w:rPr>
          <w:sz w:val="22"/>
          <w:szCs w:val="22"/>
        </w:rPr>
        <w:t>use</w:t>
      </w:r>
      <w:r w:rsidR="00EF67E9" w:rsidRPr="001D7A89">
        <w:rPr>
          <w:spacing w:val="-2"/>
          <w:sz w:val="22"/>
          <w:szCs w:val="22"/>
        </w:rPr>
        <w:t xml:space="preserve"> of the </w:t>
      </w:r>
      <w:r w:rsidR="00EF67E9" w:rsidRPr="001D7A89">
        <w:rPr>
          <w:sz w:val="22"/>
          <w:szCs w:val="22"/>
        </w:rPr>
        <w:t>underlying</w:t>
      </w:r>
      <w:r w:rsidR="00EF67E9" w:rsidRPr="001D7A89">
        <w:rPr>
          <w:spacing w:val="-1"/>
          <w:sz w:val="22"/>
          <w:szCs w:val="22"/>
        </w:rPr>
        <w:t xml:space="preserve"> </w:t>
      </w:r>
      <w:r w:rsidR="00EF67E9" w:rsidRPr="001D7A89">
        <w:rPr>
          <w:sz w:val="22"/>
          <w:szCs w:val="22"/>
        </w:rPr>
        <w:t>data</w:t>
      </w:r>
      <w:r w:rsidR="00EF67E9" w:rsidRPr="001D7A89">
        <w:rPr>
          <w:spacing w:val="-1"/>
          <w:sz w:val="22"/>
          <w:szCs w:val="22"/>
        </w:rPr>
        <w:t xml:space="preserve"> </w:t>
      </w:r>
      <w:r w:rsidR="00EF67E9" w:rsidRPr="001D7A89">
        <w:rPr>
          <w:sz w:val="22"/>
          <w:szCs w:val="22"/>
        </w:rPr>
        <w:t>elements.</w:t>
      </w:r>
    </w:p>
    <w:p w14:paraId="375957CD" w14:textId="4985C84A" w:rsidR="00A550ED" w:rsidRPr="005E2733" w:rsidRDefault="00A550ED" w:rsidP="00030585">
      <w:pPr>
        <w:pStyle w:val="Heading2"/>
      </w:pPr>
      <w:bookmarkStart w:id="44" w:name="_Toc114492063"/>
      <w:bookmarkStart w:id="45" w:name="_Toc115353766"/>
      <w:r w:rsidRPr="005E2733">
        <w:t>Centraliz</w:t>
      </w:r>
      <w:r w:rsidR="00113EF1">
        <w:t>ing</w:t>
      </w:r>
      <w:r w:rsidRPr="005E2733">
        <w:t xml:space="preserve"> Telehealth</w:t>
      </w:r>
      <w:bookmarkEnd w:id="44"/>
      <w:bookmarkEnd w:id="45"/>
    </w:p>
    <w:p w14:paraId="5F64D363" w14:textId="361E8F09" w:rsidR="003173FF" w:rsidRDefault="00B34A2F" w:rsidP="000D7C57">
      <w:pPr>
        <w:tabs>
          <w:tab w:val="left" w:pos="720"/>
          <w:tab w:val="left" w:pos="1440"/>
        </w:tabs>
        <w:spacing w:before="120" w:after="120"/>
      </w:pPr>
      <w:r w:rsidRPr="005E2733">
        <w:tab/>
      </w:r>
      <w:r w:rsidR="00E0470E" w:rsidRPr="001870B3">
        <w:t xml:space="preserve">With the </w:t>
      </w:r>
      <w:r w:rsidR="00F90250" w:rsidRPr="001870B3">
        <w:t>increased demand for telehealth resulting from</w:t>
      </w:r>
      <w:r w:rsidR="00E0470E" w:rsidRPr="001870B3">
        <w:t xml:space="preserve"> </w:t>
      </w:r>
      <w:r w:rsidR="003173FF" w:rsidRPr="001870B3">
        <w:t xml:space="preserve">the </w:t>
      </w:r>
      <w:r w:rsidR="00E0470E" w:rsidRPr="001870B3">
        <w:t xml:space="preserve">pandemic, healthcare providers are </w:t>
      </w:r>
      <w:r w:rsidR="00F90250" w:rsidRPr="001870B3">
        <w:t>looking to</w:t>
      </w:r>
      <w:r w:rsidR="00E0470E" w:rsidRPr="001870B3">
        <w:t xml:space="preserve"> increas</w:t>
      </w:r>
      <w:r w:rsidR="00F90250" w:rsidRPr="001870B3">
        <w:t>e</w:t>
      </w:r>
      <w:r w:rsidR="00E0470E" w:rsidRPr="001870B3">
        <w:t xml:space="preserve"> efficiency and improv</w:t>
      </w:r>
      <w:r w:rsidR="00F90250" w:rsidRPr="001870B3">
        <w:t>e</w:t>
      </w:r>
      <w:r w:rsidR="00E0470E" w:rsidRPr="001870B3">
        <w:t xml:space="preserve"> patient outcomes</w:t>
      </w:r>
      <w:r w:rsidR="00F90250" w:rsidRPr="001870B3">
        <w:t xml:space="preserve"> through use of centralized telehealth</w:t>
      </w:r>
      <w:r w:rsidR="00E0470E" w:rsidRPr="001870B3">
        <w:t>.</w:t>
      </w:r>
      <w:r w:rsidR="00F90250" w:rsidRPr="001870B3">
        <w:t xml:space="preserve"> </w:t>
      </w:r>
      <w:r w:rsidR="00232551">
        <w:t xml:space="preserve"> </w:t>
      </w:r>
      <w:r w:rsidR="00F90250" w:rsidRPr="001870B3">
        <w:t>In a recent study, c</w:t>
      </w:r>
      <w:r w:rsidRPr="001870B3">
        <w:t xml:space="preserve">entralized telehealth </w:t>
      </w:r>
      <w:r w:rsidR="003173FF" w:rsidRPr="001870B3">
        <w:t xml:space="preserve">was shown to </w:t>
      </w:r>
      <w:r w:rsidR="008E7F1B" w:rsidRPr="001870B3">
        <w:t xml:space="preserve">increase telehealth </w:t>
      </w:r>
      <w:r w:rsidR="00D539D3" w:rsidRPr="001870B3">
        <w:t>utilization</w:t>
      </w:r>
      <w:r w:rsidRPr="001870B3">
        <w:t xml:space="preserve"> and improve </w:t>
      </w:r>
      <w:r w:rsidR="00F90250" w:rsidRPr="001870B3">
        <w:t>satisfaction for</w:t>
      </w:r>
      <w:r w:rsidR="00D539D3" w:rsidRPr="001870B3">
        <w:t xml:space="preserve"> </w:t>
      </w:r>
      <w:r w:rsidR="00132BC5" w:rsidRPr="001870B3">
        <w:t xml:space="preserve">patients, </w:t>
      </w:r>
      <w:r w:rsidR="00A02637">
        <w:t>providers</w:t>
      </w:r>
      <w:r w:rsidR="00132BC5" w:rsidRPr="001870B3">
        <w:t>, and administrators</w:t>
      </w:r>
      <w:r w:rsidRPr="001870B3">
        <w:t>.</w:t>
      </w:r>
      <w:r w:rsidR="008E7F1B" w:rsidRPr="001870B3">
        <w:t xml:space="preserve">  </w:t>
      </w:r>
      <w:r w:rsidR="00132BC5" w:rsidRPr="001870B3">
        <w:t>Centraliz</w:t>
      </w:r>
      <w:r w:rsidR="00DD4C32">
        <w:t>ed</w:t>
      </w:r>
      <w:r w:rsidR="00132BC5" w:rsidRPr="001870B3">
        <w:t xml:space="preserve"> </w:t>
      </w:r>
      <w:r w:rsidR="00E0470E" w:rsidRPr="001870B3">
        <w:t xml:space="preserve">telehealth </w:t>
      </w:r>
      <w:r w:rsidR="008E7F1B" w:rsidRPr="001870B3">
        <w:t xml:space="preserve">means that individual practices </w:t>
      </w:r>
      <w:r w:rsidR="003173FF" w:rsidRPr="001870B3">
        <w:t xml:space="preserve">or hospital departments </w:t>
      </w:r>
      <w:r w:rsidR="008E7F1B" w:rsidRPr="001870B3">
        <w:t>are brought together to coordinate telehealth across an entire medical center</w:t>
      </w:r>
      <w:r w:rsidR="001870B3">
        <w:t xml:space="preserve"> or hospital</w:t>
      </w:r>
      <w:r w:rsidR="008E7F1B" w:rsidRPr="001870B3">
        <w:t xml:space="preserve">.  </w:t>
      </w:r>
      <w:r w:rsidR="00132BC5" w:rsidRPr="001870B3">
        <w:t>For</w:t>
      </w:r>
      <w:r w:rsidR="008E7F1B" w:rsidRPr="001870B3">
        <w:t xml:space="preserve"> example, </w:t>
      </w:r>
      <w:r w:rsidR="00E0470E" w:rsidRPr="001870B3">
        <w:t>a</w:t>
      </w:r>
      <w:r w:rsidR="008E7F1B" w:rsidRPr="001870B3">
        <w:t xml:space="preserve"> telehealth center in a main hospital building</w:t>
      </w:r>
      <w:r w:rsidR="003173FF" w:rsidRPr="001870B3">
        <w:t xml:space="preserve"> </w:t>
      </w:r>
      <w:r w:rsidR="007173BC">
        <w:t>c</w:t>
      </w:r>
      <w:r w:rsidR="003173FF" w:rsidRPr="001870B3">
        <w:t>ould include video conferencing rooms and space for staff to</w:t>
      </w:r>
      <w:r w:rsidR="00132BC5" w:rsidRPr="001870B3">
        <w:t xml:space="preserve"> </w:t>
      </w:r>
      <w:r w:rsidR="00D539D3" w:rsidRPr="001870B3">
        <w:t xml:space="preserve">manage all telehealth services, including </w:t>
      </w:r>
      <w:r w:rsidR="003173FF" w:rsidRPr="001870B3">
        <w:t>scheduling</w:t>
      </w:r>
      <w:r w:rsidR="00D539D3" w:rsidRPr="001870B3">
        <w:t xml:space="preserve"> appointments</w:t>
      </w:r>
      <w:r w:rsidR="001870B3">
        <w:t>,</w:t>
      </w:r>
      <w:r w:rsidR="00D539D3" w:rsidRPr="001870B3">
        <w:t xml:space="preserve"> managing video conferencing</w:t>
      </w:r>
      <w:r w:rsidR="006712AA">
        <w:t>, coordination, and research and development</w:t>
      </w:r>
      <w:r w:rsidR="0043727A">
        <w:t>.</w:t>
      </w:r>
      <w:r w:rsidR="0043727A">
        <w:rPr>
          <w:rStyle w:val="FootnoteReference"/>
        </w:rPr>
        <w:footnoteReference w:id="70"/>
      </w:r>
    </w:p>
    <w:p w14:paraId="63B6DAF8" w14:textId="2B5F39DB" w:rsidR="00132BC5" w:rsidRDefault="007173BC" w:rsidP="00030585">
      <w:pPr>
        <w:widowControl/>
        <w:autoSpaceDE/>
        <w:autoSpaceDN/>
        <w:spacing w:before="120" w:after="120"/>
        <w:ind w:firstLine="720"/>
        <w:textAlignment w:val="baseline"/>
      </w:pPr>
      <w:r w:rsidRPr="007173BC">
        <w:lastRenderedPageBreak/>
        <w:t xml:space="preserve">A centralized telehealth center, </w:t>
      </w:r>
      <w:r w:rsidR="00DE3ECC">
        <w:t>as in the</w:t>
      </w:r>
      <w:r w:rsidRPr="007173BC">
        <w:t xml:space="preserve"> example above,</w:t>
      </w:r>
      <w:r>
        <w:t xml:space="preserve"> </w:t>
      </w:r>
      <w:r w:rsidR="00731261" w:rsidRPr="007173BC">
        <w:t xml:space="preserve">should </w:t>
      </w:r>
      <w:r w:rsidRPr="007173BC">
        <w:t xml:space="preserve">practice a </w:t>
      </w:r>
      <w:r w:rsidR="00731261" w:rsidRPr="007173BC">
        <w:t>multidisciplinary team approach to coordinated patient care.</w:t>
      </w:r>
      <w:r w:rsidRPr="007173BC">
        <w:t xml:space="preserve"> </w:t>
      </w:r>
      <w:r>
        <w:t xml:space="preserve"> </w:t>
      </w:r>
      <w:r w:rsidRPr="007173BC">
        <w:t>For example, the telehealth center could focus on certain clinical specialties, such as geriatrics, cardiology, dermatology, and endocrinology.</w:t>
      </w:r>
      <w:r w:rsidR="000D7C57">
        <w:t xml:space="preserve">  </w:t>
      </w:r>
      <w:r w:rsidR="003173FF" w:rsidRPr="007173BC">
        <w:t>C</w:t>
      </w:r>
      <w:r w:rsidR="005E2733" w:rsidRPr="007173BC">
        <w:t xml:space="preserve">entralized telehealth </w:t>
      </w:r>
      <w:r w:rsidR="003173FF" w:rsidRPr="007173BC">
        <w:t xml:space="preserve">also </w:t>
      </w:r>
      <w:r w:rsidR="005E2733" w:rsidRPr="007173BC">
        <w:t xml:space="preserve">makes </w:t>
      </w:r>
      <w:r w:rsidR="003173FF" w:rsidRPr="007173BC">
        <w:t xml:space="preserve">the practice of </w:t>
      </w:r>
      <w:r w:rsidR="005E2733" w:rsidRPr="007173BC">
        <w:t xml:space="preserve">telehealth less challenging for </w:t>
      </w:r>
      <w:r w:rsidR="00A02637" w:rsidRPr="007173BC">
        <w:t xml:space="preserve">healthcare providers </w:t>
      </w:r>
      <w:r w:rsidR="00D05571" w:rsidRPr="007173BC">
        <w:t>with little or no</w:t>
      </w:r>
      <w:r w:rsidR="005E2733" w:rsidRPr="007173BC">
        <w:t xml:space="preserve"> previous experience with telehealth</w:t>
      </w:r>
      <w:r w:rsidR="006712AA" w:rsidRPr="007173BC">
        <w:t xml:space="preserve">.  Additionally, </w:t>
      </w:r>
      <w:r w:rsidR="00B34A2F" w:rsidRPr="007173BC">
        <w:t>centralized telehealth allow</w:t>
      </w:r>
      <w:r w:rsidR="00A02637" w:rsidRPr="007173BC">
        <w:t>s</w:t>
      </w:r>
      <w:r w:rsidR="00B34A2F" w:rsidRPr="007173BC">
        <w:t xml:space="preserve"> </w:t>
      </w:r>
      <w:r w:rsidR="006712AA" w:rsidRPr="007173BC">
        <w:t>providers</w:t>
      </w:r>
      <w:r w:rsidR="00500C8C" w:rsidRPr="007173BC">
        <w:t xml:space="preserve"> to schedule</w:t>
      </w:r>
      <w:r w:rsidR="00B34A2F" w:rsidRPr="007173BC">
        <w:t xml:space="preserve"> telehealth visits between in-person visits or before and after rotations.</w:t>
      </w:r>
    </w:p>
    <w:p w14:paraId="10C706CC" w14:textId="277DA0FE" w:rsidR="003C089A" w:rsidRDefault="00B871E6" w:rsidP="00030585">
      <w:pPr>
        <w:pStyle w:val="Heading2"/>
      </w:pPr>
      <w:bookmarkStart w:id="46" w:name="_bookmark7"/>
      <w:bookmarkStart w:id="47" w:name="_bookmark8"/>
      <w:bookmarkStart w:id="48" w:name="_Toc114492064"/>
      <w:bookmarkStart w:id="49" w:name="_Toc114492065"/>
      <w:bookmarkStart w:id="50" w:name="_Toc114492066"/>
      <w:bookmarkStart w:id="51" w:name="_Toc114492067"/>
      <w:bookmarkStart w:id="52" w:name="_Toc114492068"/>
      <w:bookmarkStart w:id="53" w:name="_bookmark9"/>
      <w:bookmarkStart w:id="54" w:name="_bookmark10"/>
      <w:bookmarkStart w:id="55" w:name="_bookmark11"/>
      <w:bookmarkStart w:id="56" w:name="_bookmark12"/>
      <w:bookmarkStart w:id="57" w:name="_bookmark13"/>
      <w:bookmarkStart w:id="58" w:name="_bookmark14"/>
      <w:bookmarkStart w:id="59" w:name="_bookmark15"/>
      <w:bookmarkStart w:id="60" w:name="_Toc114492069"/>
      <w:bookmarkStart w:id="61" w:name="_Toc115353767"/>
      <w:bookmarkEnd w:id="46"/>
      <w:bookmarkEnd w:id="47"/>
      <w:bookmarkEnd w:id="48"/>
      <w:bookmarkEnd w:id="49"/>
      <w:bookmarkEnd w:id="50"/>
      <w:bookmarkEnd w:id="51"/>
      <w:bookmarkEnd w:id="52"/>
      <w:bookmarkEnd w:id="53"/>
      <w:bookmarkEnd w:id="54"/>
      <w:bookmarkEnd w:id="55"/>
      <w:bookmarkEnd w:id="56"/>
      <w:bookmarkEnd w:id="57"/>
      <w:bookmarkEnd w:id="58"/>
      <w:bookmarkEnd w:id="59"/>
      <w:r>
        <w:t xml:space="preserve">Lack of </w:t>
      </w:r>
      <w:r w:rsidR="009365EC">
        <w:t xml:space="preserve">Digital </w:t>
      </w:r>
      <w:r>
        <w:t>L</w:t>
      </w:r>
      <w:r w:rsidR="009365EC">
        <w:t xml:space="preserve">iteracy </w:t>
      </w:r>
      <w:r w:rsidR="004D3E6B">
        <w:t>as a Threat to Health Equity</w:t>
      </w:r>
      <w:bookmarkEnd w:id="60"/>
      <w:bookmarkEnd w:id="61"/>
    </w:p>
    <w:p w14:paraId="3CBD37A2" w14:textId="752D7588" w:rsidR="00181362" w:rsidRDefault="00A72C89" w:rsidP="004F6E2C">
      <w:pPr>
        <w:pStyle w:val="BodyText"/>
        <w:spacing w:before="120" w:after="120"/>
        <w:ind w:left="0" w:firstLine="720"/>
        <w:rPr>
          <w:sz w:val="20"/>
          <w:szCs w:val="20"/>
        </w:rPr>
      </w:pPr>
      <w:bookmarkStart w:id="62" w:name="_bookmark16"/>
      <w:bookmarkEnd w:id="62"/>
      <w:r>
        <w:t>T</w:t>
      </w:r>
      <w:r w:rsidR="35CF6DCE">
        <w:t xml:space="preserve">he </w:t>
      </w:r>
      <w:r w:rsidR="00E56ACB">
        <w:t xml:space="preserve">digital </w:t>
      </w:r>
      <w:r w:rsidR="35CF6DCE">
        <w:t>acumen of patients and their</w:t>
      </w:r>
      <w:r w:rsidR="35CF6DCE">
        <w:rPr>
          <w:spacing w:val="1"/>
        </w:rPr>
        <w:t xml:space="preserve"> </w:t>
      </w:r>
      <w:r w:rsidR="35CF6DCE">
        <w:t xml:space="preserve">families are a critical part of seeking and </w:t>
      </w:r>
      <w:r w:rsidR="1EFDD5F3">
        <w:t xml:space="preserve">utilizing </w:t>
      </w:r>
      <w:r w:rsidR="1ACC3F92">
        <w:t>t</w:t>
      </w:r>
      <w:r w:rsidR="055A994C">
        <w:t>elehealth</w:t>
      </w:r>
      <w:r>
        <w:t xml:space="preserve">.  Although </w:t>
      </w:r>
      <w:r w:rsidR="35CF6DCE">
        <w:t xml:space="preserve">the </w:t>
      </w:r>
      <w:r w:rsidR="00AB0827">
        <w:t xml:space="preserve">general </w:t>
      </w:r>
      <w:r w:rsidR="35CF6DCE">
        <w:t>public</w:t>
      </w:r>
      <w:r w:rsidR="00AB0827">
        <w:t xml:space="preserve"> is</w:t>
      </w:r>
      <w:r w:rsidR="35CF6DCE">
        <w:t xml:space="preserve"> exhibit</w:t>
      </w:r>
      <w:r w:rsidR="00AB0827">
        <w:t>ing</w:t>
      </w:r>
      <w:r w:rsidR="35CF6DCE">
        <w:t xml:space="preserve"> an increasing</w:t>
      </w:r>
      <w:r w:rsidR="35CF6DCE">
        <w:rPr>
          <w:spacing w:val="1"/>
        </w:rPr>
        <w:t xml:space="preserve"> </w:t>
      </w:r>
      <w:r w:rsidR="35CF6DCE">
        <w:t>familiarity with</w:t>
      </w:r>
      <w:r w:rsidR="35CF6DCE">
        <w:rPr>
          <w:spacing w:val="-1"/>
        </w:rPr>
        <w:t xml:space="preserve"> </w:t>
      </w:r>
      <w:r w:rsidR="35CF6DCE">
        <w:t>smart</w:t>
      </w:r>
      <w:r w:rsidR="35CF6DCE">
        <w:rPr>
          <w:spacing w:val="-2"/>
        </w:rPr>
        <w:t xml:space="preserve"> </w:t>
      </w:r>
      <w:r w:rsidR="35CF6DCE">
        <w:t>devices</w:t>
      </w:r>
      <w:r w:rsidR="00394418">
        <w:t>,</w:t>
      </w:r>
      <w:r w:rsidR="35CF6DCE">
        <w:rPr>
          <w:spacing w:val="-1"/>
        </w:rPr>
        <w:t xml:space="preserve"> </w:t>
      </w:r>
      <w:r w:rsidR="35CF6DCE">
        <w:t>web</w:t>
      </w:r>
      <w:r w:rsidR="35CF6DCE">
        <w:rPr>
          <w:spacing w:val="-1"/>
        </w:rPr>
        <w:t xml:space="preserve"> </w:t>
      </w:r>
      <w:r w:rsidR="35CF6DCE">
        <w:t>applications</w:t>
      </w:r>
      <w:r w:rsidR="35CF6DCE">
        <w:rPr>
          <w:spacing w:val="-2"/>
        </w:rPr>
        <w:t xml:space="preserve"> </w:t>
      </w:r>
      <w:r w:rsidR="35CF6DCE">
        <w:t>and</w:t>
      </w:r>
      <w:r w:rsidR="35CF6DCE">
        <w:rPr>
          <w:spacing w:val="-1"/>
        </w:rPr>
        <w:t xml:space="preserve"> </w:t>
      </w:r>
      <w:r w:rsidR="35CF6DCE">
        <w:t>utilities</w:t>
      </w:r>
      <w:r>
        <w:t xml:space="preserve">, </w:t>
      </w:r>
      <w:r w:rsidR="0088393D">
        <w:t xml:space="preserve">the problem of </w:t>
      </w:r>
      <w:r w:rsidR="00EA4177">
        <w:t>lack of</w:t>
      </w:r>
      <w:r w:rsidR="0088393D">
        <w:t xml:space="preserve"> digital literacy</w:t>
      </w:r>
      <w:r w:rsidR="00394418">
        <w:t>,</w:t>
      </w:r>
      <w:r w:rsidR="0088393D">
        <w:t xml:space="preserve"> </w:t>
      </w:r>
      <w:r w:rsidR="00394418">
        <w:t xml:space="preserve">especially during a </w:t>
      </w:r>
      <w:r w:rsidR="007D23F9">
        <w:t xml:space="preserve">pandemic when access to </w:t>
      </w:r>
      <w:r w:rsidR="007D23F9" w:rsidRPr="00050918">
        <w:t>telehealth is critical</w:t>
      </w:r>
      <w:r w:rsidR="005A1517" w:rsidRPr="00050918">
        <w:t xml:space="preserve">, </w:t>
      </w:r>
      <w:r w:rsidR="007D23F9" w:rsidRPr="00050918">
        <w:t>becomes</w:t>
      </w:r>
      <w:r w:rsidR="0088393D" w:rsidRPr="00050918">
        <w:t xml:space="preserve"> one of equitable access to </w:t>
      </w:r>
      <w:r w:rsidR="007D23F9" w:rsidRPr="00050918">
        <w:t>care</w:t>
      </w:r>
      <w:r w:rsidR="0088393D" w:rsidRPr="00050918">
        <w:t>.</w:t>
      </w:r>
      <w:r w:rsidR="00357546">
        <w:rPr>
          <w:rStyle w:val="FootnoteReference"/>
        </w:rPr>
        <w:footnoteReference w:id="71"/>
      </w:r>
      <w:r w:rsidR="0088393D" w:rsidRPr="00050918">
        <w:t xml:space="preserve">  </w:t>
      </w:r>
      <w:r w:rsidR="00EA4177">
        <w:t>The lack of d</w:t>
      </w:r>
      <w:r w:rsidR="007D23F9" w:rsidRPr="00050918">
        <w:t>igital</w:t>
      </w:r>
      <w:r w:rsidR="0088393D" w:rsidRPr="00050918">
        <w:t xml:space="preserve"> literacy is concentrated among groups of people who already experience worse health than others.  “About one-third of the 32 million Americans who cannot use a computer are seniors, but digital literacy is also common among people of Black </w:t>
      </w:r>
      <w:r w:rsidR="0088393D" w:rsidRPr="0078226B">
        <w:t>or Hispanic origin, with low income, or no college education.</w:t>
      </w:r>
      <w:r w:rsidR="00394418" w:rsidRPr="0078226B">
        <w:t>”</w:t>
      </w:r>
      <w:r w:rsidR="000A4DE4" w:rsidRPr="00050918">
        <w:rPr>
          <w:rStyle w:val="FootnoteReference"/>
        </w:rPr>
        <w:footnoteReference w:id="72"/>
      </w:r>
      <w:r w:rsidR="00F506B8">
        <w:t xml:space="preserve">  Similarly, Americans with disabilities are three times as likely over individual </w:t>
      </w:r>
      <w:r w:rsidR="00F506B8" w:rsidRPr="0057121E">
        <w:t>without disabilities to say that they never go online (15% vs. 5%), and “[s]</w:t>
      </w:r>
      <w:proofErr w:type="spellStart"/>
      <w:r w:rsidR="00F506B8" w:rsidRPr="0057121E">
        <w:t>ome</w:t>
      </w:r>
      <w:proofErr w:type="spellEnd"/>
      <w:r w:rsidR="00F506B8" w:rsidRPr="0057121E">
        <w:t xml:space="preserve"> </w:t>
      </w:r>
      <w:r w:rsidR="00F506B8" w:rsidRPr="0057121E">
        <w:rPr>
          <w:shd w:val="clear" w:color="auto" w:fill="FFFFFF"/>
        </w:rPr>
        <w:t>62% of adults with a disability say they own a desktop or laptop computer, compared with 81% of those without a disability.”</w:t>
      </w:r>
      <w:r w:rsidR="00F506B8" w:rsidRPr="0057121E">
        <w:rPr>
          <w:rStyle w:val="FootnoteReference"/>
          <w:shd w:val="clear" w:color="auto" w:fill="FFFFFF"/>
        </w:rPr>
        <w:footnoteReference w:id="73"/>
      </w:r>
      <w:bookmarkStart w:id="63" w:name="_bookmark17"/>
      <w:bookmarkEnd w:id="63"/>
    </w:p>
    <w:p w14:paraId="340FAEA8" w14:textId="1BA388B7" w:rsidR="00805812" w:rsidRPr="00030585" w:rsidRDefault="00805812" w:rsidP="00030585">
      <w:pPr>
        <w:pStyle w:val="Heading1"/>
      </w:pPr>
      <w:bookmarkStart w:id="64" w:name="_Toc114492070"/>
      <w:bookmarkStart w:id="65" w:name="_Toc115353768"/>
      <w:r w:rsidRPr="00030585">
        <w:t>LESSONS LEARNED</w:t>
      </w:r>
      <w:bookmarkEnd w:id="64"/>
      <w:bookmarkEnd w:id="65"/>
    </w:p>
    <w:p w14:paraId="2A365EA3" w14:textId="1D7AB47D" w:rsidR="00805812" w:rsidRPr="00C67ECA" w:rsidRDefault="00902540" w:rsidP="00580258">
      <w:pPr>
        <w:pStyle w:val="Heading2"/>
        <w:numPr>
          <w:ilvl w:val="0"/>
          <w:numId w:val="40"/>
        </w:numPr>
        <w:ind w:left="1080"/>
      </w:pPr>
      <w:bookmarkStart w:id="66" w:name="_Toc114492071"/>
      <w:bookmarkStart w:id="67" w:name="_Toc115353769"/>
      <w:r>
        <w:t xml:space="preserve">Implementation of </w:t>
      </w:r>
      <w:r w:rsidR="00805812" w:rsidRPr="00C67ECA">
        <w:t xml:space="preserve">COVID-19 </w:t>
      </w:r>
      <w:r w:rsidR="00805812">
        <w:t>Polic</w:t>
      </w:r>
      <w:r>
        <w:t>ies</w:t>
      </w:r>
      <w:r w:rsidR="00805812">
        <w:t xml:space="preserve"> </w:t>
      </w:r>
      <w:r w:rsidR="00805812" w:rsidRPr="00C67ECA">
        <w:t>Ease</w:t>
      </w:r>
      <w:r w:rsidR="009C71CC">
        <w:t>d</w:t>
      </w:r>
      <w:r w:rsidR="00805812" w:rsidRPr="00C67ECA">
        <w:t xml:space="preserve"> Regulatory</w:t>
      </w:r>
      <w:r w:rsidR="00805812" w:rsidRPr="0069689E">
        <w:rPr>
          <w:spacing w:val="-6"/>
        </w:rPr>
        <w:t xml:space="preserve"> </w:t>
      </w:r>
      <w:r w:rsidR="00805812" w:rsidRPr="00C67ECA">
        <w:t>Barriers to Telehealth</w:t>
      </w:r>
      <w:bookmarkEnd w:id="66"/>
      <w:r w:rsidR="00986ECB">
        <w:t xml:space="preserve"> Services</w:t>
      </w:r>
      <w:bookmarkEnd w:id="67"/>
    </w:p>
    <w:p w14:paraId="02D95BAD" w14:textId="5FEFB3CB" w:rsidR="00805812" w:rsidRPr="00C67ECA" w:rsidRDefault="00805812" w:rsidP="004F6E2C">
      <w:pPr>
        <w:pStyle w:val="BodyText"/>
        <w:spacing w:before="120" w:after="120"/>
        <w:ind w:left="0" w:firstLine="720"/>
        <w:rPr>
          <w:shd w:val="clear" w:color="auto" w:fill="FFFFFF"/>
        </w:rPr>
      </w:pPr>
      <w:r w:rsidRPr="00C67ECA">
        <w:t xml:space="preserve">The global pandemic upended many of the longstanding regulations that otherwise constrained the deployment of telehealth throughout the country.  For example, the </w:t>
      </w:r>
      <w:r w:rsidRPr="00C67ECA">
        <w:rPr>
          <w:shd w:val="clear" w:color="auto" w:fill="FFFFFF"/>
        </w:rPr>
        <w:t>federal government declared a COVID-19</w:t>
      </w:r>
      <w:r w:rsidR="00232551">
        <w:rPr>
          <w:shd w:val="clear" w:color="auto" w:fill="FFFFFF"/>
        </w:rPr>
        <w:t xml:space="preserve"> </w:t>
      </w:r>
      <w:r w:rsidRPr="00C67ECA">
        <w:rPr>
          <w:shd w:val="clear" w:color="auto" w:fill="FFFFFF"/>
        </w:rPr>
        <w:t>public health emergency and took steps to make providing and receiving care through telehealth easier.</w:t>
      </w:r>
      <w:r w:rsidRPr="00C67ECA">
        <w:rPr>
          <w:rStyle w:val="FootnoteReference"/>
          <w:shd w:val="clear" w:color="auto" w:fill="FFFFFF"/>
        </w:rPr>
        <w:footnoteReference w:id="74"/>
      </w:r>
      <w:r w:rsidRPr="00C67ECA">
        <w:rPr>
          <w:shd w:val="clear" w:color="auto" w:fill="FFFFFF"/>
        </w:rPr>
        <w:t xml:space="preserve">  One of the temporary measures that came about was more flexibility for providers to use everyday technology for virtual telehealth visits without the risk of penalties for violations of HIPAA rules for the good faith provision of telehealth services.  Under this declaratory notice, the U.S. Department of Health and Human Services</w:t>
      </w:r>
      <w:r>
        <w:rPr>
          <w:shd w:val="clear" w:color="auto" w:fill="FFFFFF"/>
        </w:rPr>
        <w:t xml:space="preserve"> (HHS)</w:t>
      </w:r>
      <w:r w:rsidRPr="00C67ECA">
        <w:rPr>
          <w:shd w:val="clear" w:color="auto" w:fill="FFFFFF"/>
        </w:rPr>
        <w:t xml:space="preserve"> Office for Civil Rights announced that covered health care providers</w:t>
      </w:r>
      <w:r w:rsidR="00232551">
        <w:rPr>
          <w:shd w:val="clear" w:color="auto" w:fill="FFFFFF"/>
        </w:rPr>
        <w:t xml:space="preserve"> </w:t>
      </w:r>
      <w:r w:rsidRPr="00886F33">
        <w:rPr>
          <w:rStyle w:val="Strong"/>
          <w:b w:val="0"/>
          <w:bCs w:val="0"/>
          <w:shd w:val="clear" w:color="auto" w:fill="FFFFFF"/>
        </w:rPr>
        <w:t>may</w:t>
      </w:r>
      <w:r w:rsidR="00232551">
        <w:rPr>
          <w:shd w:val="clear" w:color="auto" w:fill="FFFFFF"/>
        </w:rPr>
        <w:t xml:space="preserve"> </w:t>
      </w:r>
      <w:r w:rsidRPr="00C67ECA">
        <w:rPr>
          <w:shd w:val="clear" w:color="auto" w:fill="FFFFFF"/>
        </w:rPr>
        <w:t>use popular applications to deliver telehealth as long as they are non-public facing.</w:t>
      </w:r>
      <w:r w:rsidR="000A4DE4" w:rsidRPr="00C67ECA">
        <w:rPr>
          <w:rStyle w:val="FootnoteReference"/>
          <w:shd w:val="clear" w:color="auto" w:fill="FFFFFF"/>
        </w:rPr>
        <w:footnoteReference w:id="75"/>
      </w:r>
    </w:p>
    <w:p w14:paraId="679EA1C2" w14:textId="6D71AA51" w:rsidR="00805812" w:rsidRPr="000B0618" w:rsidRDefault="00805812" w:rsidP="004F6E2C">
      <w:pPr>
        <w:pStyle w:val="BodyText"/>
        <w:spacing w:before="120" w:after="120"/>
        <w:ind w:left="0" w:firstLine="720"/>
      </w:pPr>
      <w:r w:rsidRPr="00886F33">
        <w:t xml:space="preserve">Additionally, </w:t>
      </w:r>
      <w:r w:rsidRPr="00886F33">
        <w:rPr>
          <w:shd w:val="clear" w:color="auto" w:fill="FFFFFF"/>
        </w:rPr>
        <w:t xml:space="preserve">in response to the pandemic, HHS and the Centers for Medicare &amp; Medicaid Services (CMS) took a number of actions to temporarily expand access to telehealth for Medicare </w:t>
      </w:r>
      <w:r w:rsidRPr="00886F33">
        <w:rPr>
          <w:shd w:val="clear" w:color="auto" w:fill="FFFFFF"/>
        </w:rPr>
        <w:lastRenderedPageBreak/>
        <w:t>beneficiaries.</w:t>
      </w:r>
      <w:r w:rsidR="00232551">
        <w:rPr>
          <w:shd w:val="clear" w:color="auto" w:fill="FFFFFF"/>
        </w:rPr>
        <w:t xml:space="preserve"> </w:t>
      </w:r>
      <w:r w:rsidRPr="00886F33">
        <w:rPr>
          <w:shd w:val="clear" w:color="auto" w:fill="FFFFFF"/>
        </w:rPr>
        <w:t xml:space="preserve"> </w:t>
      </w:r>
      <w:r w:rsidR="00232551">
        <w:rPr>
          <w:shd w:val="clear" w:color="auto" w:fill="FFFFFF"/>
        </w:rPr>
        <w:t xml:space="preserve">According to HHS’ Office of Inspector General, </w:t>
      </w:r>
      <w:r w:rsidRPr="00886F33">
        <w:rPr>
          <w:shd w:val="clear" w:color="auto" w:fill="FFFFFF"/>
        </w:rPr>
        <w:t>“CMS allowed beneficiaries to use telehealth for a wide range of services; it also allowed beneficiaries to use telehealth in different locations, including in urban areas and from the beneficiary's home.”</w:t>
      </w:r>
      <w:r w:rsidR="00520765" w:rsidRPr="00520765">
        <w:rPr>
          <w:rStyle w:val="FootnoteReference"/>
          <w:shd w:val="clear" w:color="auto" w:fill="FFFFFF"/>
        </w:rPr>
        <w:t xml:space="preserve"> </w:t>
      </w:r>
      <w:r w:rsidR="00520765" w:rsidRPr="00886F33">
        <w:rPr>
          <w:rStyle w:val="FootnoteReference"/>
          <w:shd w:val="clear" w:color="auto" w:fill="FFFFFF"/>
        </w:rPr>
        <w:footnoteReference w:id="76"/>
      </w:r>
      <w:r w:rsidR="00520765" w:rsidRPr="00886F33">
        <w:rPr>
          <w:shd w:val="clear" w:color="auto" w:fill="FFFFFF"/>
        </w:rPr>
        <w:t xml:space="preserve"> </w:t>
      </w:r>
      <w:r w:rsidRPr="00886F33">
        <w:rPr>
          <w:shd w:val="clear" w:color="auto" w:fill="FFFFFF"/>
        </w:rPr>
        <w:t xml:space="preserve"> </w:t>
      </w:r>
      <w:r>
        <w:t>The number of eligible services were increased to 264, allowing for many types of visits to be performed through telehealth.</w:t>
      </w:r>
      <w:r w:rsidR="00232551">
        <w:t xml:space="preserve"> </w:t>
      </w:r>
      <w:r>
        <w:t xml:space="preserve"> </w:t>
      </w:r>
      <w:r w:rsidRPr="00886F33">
        <w:rPr>
          <w:shd w:val="clear" w:color="auto" w:fill="FFFFFF"/>
        </w:rPr>
        <w:t>These policy changes resulted in over 28 million Medicare beneficiaries using telehealth during the first year of the pandemic.  “This was more than 2 in 5 Medicare beneficiaries. In total, beneficiaries used 88 times more telehealth services during the first year of the pandemic than they used in the prior year.</w:t>
      </w:r>
      <w:r w:rsidRPr="00886F33">
        <w:t>”</w:t>
      </w:r>
      <w:r w:rsidR="00520765" w:rsidRPr="00520765">
        <w:rPr>
          <w:rStyle w:val="FootnoteReference"/>
        </w:rPr>
        <w:t xml:space="preserve"> </w:t>
      </w:r>
      <w:r w:rsidR="00520765">
        <w:rPr>
          <w:rStyle w:val="FootnoteReference"/>
        </w:rPr>
        <w:footnoteReference w:id="77"/>
      </w:r>
    </w:p>
    <w:p w14:paraId="6BC096F1" w14:textId="4D280786" w:rsidR="00805812" w:rsidRPr="00030585" w:rsidRDefault="00805812" w:rsidP="004F6E2C">
      <w:pPr>
        <w:pStyle w:val="BodyText"/>
        <w:spacing w:before="120" w:after="120"/>
        <w:ind w:left="0" w:firstLine="720"/>
      </w:pPr>
      <w:r w:rsidRPr="00886F33">
        <w:t xml:space="preserve">During </w:t>
      </w:r>
      <w:r w:rsidRPr="000B0618">
        <w:t xml:space="preserve">the pandemic, many barriers to telehealth were relaxed, but not permanently.  </w:t>
      </w:r>
      <w:r w:rsidR="008E64F5" w:rsidRPr="009352AD">
        <w:t>“</w:t>
      </w:r>
      <w:r w:rsidR="008E64F5" w:rsidRPr="009352AD">
        <w:rPr>
          <w:shd w:val="clear" w:color="auto" w:fill="FFFFFF"/>
        </w:rPr>
        <w:t>The U.S. Department of Health and Human Services took a range of administrative steps to expedite the adoption and awareness of telehealth during the</w:t>
      </w:r>
      <w:r w:rsidR="00232551">
        <w:rPr>
          <w:shd w:val="clear" w:color="auto" w:fill="FFFFFF"/>
        </w:rPr>
        <w:t xml:space="preserve"> </w:t>
      </w:r>
      <w:r w:rsidR="008E64F5" w:rsidRPr="009352AD">
        <w:rPr>
          <w:rStyle w:val="text-no-wrap"/>
          <w:shd w:val="clear" w:color="auto" w:fill="FFFFFF"/>
        </w:rPr>
        <w:t>COVID-19</w:t>
      </w:r>
      <w:r w:rsidR="00232551">
        <w:rPr>
          <w:shd w:val="clear" w:color="auto" w:fill="FFFFFF"/>
        </w:rPr>
        <w:t xml:space="preserve"> </w:t>
      </w:r>
      <w:r w:rsidR="008E64F5" w:rsidRPr="009352AD">
        <w:rPr>
          <w:shd w:val="clear" w:color="auto" w:fill="FFFFFF"/>
        </w:rPr>
        <w:t>pandemic.</w:t>
      </w:r>
      <w:r w:rsidR="008E64F5">
        <w:rPr>
          <w:shd w:val="clear" w:color="auto" w:fill="FFFFFF"/>
        </w:rPr>
        <w:t xml:space="preserve"> </w:t>
      </w:r>
      <w:r w:rsidR="008E64F5" w:rsidRPr="009352AD">
        <w:rPr>
          <w:shd w:val="clear" w:color="auto" w:fill="FFFFFF"/>
        </w:rPr>
        <w:t xml:space="preserve"> Many of the telehealth flexibilities are temporary and will lapse at the end of the</w:t>
      </w:r>
      <w:r w:rsidR="00232551">
        <w:rPr>
          <w:shd w:val="clear" w:color="auto" w:fill="FFFFFF"/>
        </w:rPr>
        <w:t xml:space="preserve"> </w:t>
      </w:r>
      <w:r w:rsidR="008E64F5" w:rsidRPr="009352AD">
        <w:rPr>
          <w:rStyle w:val="text-no-wrap"/>
          <w:shd w:val="clear" w:color="auto" w:fill="FFFFFF"/>
        </w:rPr>
        <w:t>COVID-19</w:t>
      </w:r>
      <w:r w:rsidR="00232551">
        <w:rPr>
          <w:shd w:val="clear" w:color="auto" w:fill="FFFFFF"/>
        </w:rPr>
        <w:t xml:space="preserve"> </w:t>
      </w:r>
      <w:r w:rsidR="008E64F5" w:rsidRPr="009352AD">
        <w:rPr>
          <w:shd w:val="clear" w:color="auto" w:fill="FFFFFF"/>
        </w:rPr>
        <w:t>public health emergency</w:t>
      </w:r>
      <w:r w:rsidR="008E64F5">
        <w:rPr>
          <w:shd w:val="clear" w:color="auto" w:fill="FFFFFF"/>
        </w:rPr>
        <w:t>.”</w:t>
      </w:r>
      <w:r>
        <w:rPr>
          <w:rStyle w:val="FootnoteReference"/>
        </w:rPr>
        <w:footnoteReference w:id="78"/>
      </w:r>
      <w:r>
        <w:t xml:space="preserve">  Now is the time to determine the efficacy of the utilization of telehealth to make determinations as to which policy changes from the pandemic should remain permanent and which should revert to the pre-pandemic state.  </w:t>
      </w:r>
      <w:r w:rsidRPr="009252CE">
        <w:t>Reinstating pre-pandemic era restrictions on the use of telehealth may eliminate the ability for many to receive the care that they need.</w:t>
      </w:r>
      <w:r w:rsidR="007946CE">
        <w:rPr>
          <w:rStyle w:val="FootnoteReference"/>
        </w:rPr>
        <w:footnoteReference w:id="79"/>
      </w:r>
    </w:p>
    <w:p w14:paraId="42549EE4" w14:textId="716F30B3" w:rsidR="001076CA" w:rsidRPr="00365138" w:rsidRDefault="001076CA" w:rsidP="00030585">
      <w:pPr>
        <w:pStyle w:val="Heading2"/>
      </w:pPr>
      <w:bookmarkStart w:id="68" w:name="_Toc114492072"/>
      <w:bookmarkStart w:id="69" w:name="_Toc115353770"/>
      <w:r w:rsidRPr="00365138">
        <w:t>Integrating Telehealth into Emergency Planning</w:t>
      </w:r>
      <w:bookmarkEnd w:id="68"/>
      <w:bookmarkEnd w:id="69"/>
    </w:p>
    <w:p w14:paraId="564E430A" w14:textId="657D7A18" w:rsidR="004C3B7F" w:rsidRPr="00365138" w:rsidRDefault="006B786E" w:rsidP="004C3B7F">
      <w:pPr>
        <w:tabs>
          <w:tab w:val="left" w:pos="720"/>
        </w:tabs>
        <w:spacing w:before="120" w:after="120" w:line="257" w:lineRule="auto"/>
        <w:ind w:firstLine="720"/>
        <w:rPr>
          <w:rStyle w:val="FootnoteReference"/>
        </w:rPr>
      </w:pPr>
      <w:r>
        <w:t xml:space="preserve">The pandemic has highlighted the need to integrate telehealth into emergency planning.  </w:t>
      </w:r>
      <w:r w:rsidR="004C3B7F" w:rsidRPr="00365138">
        <w:t xml:space="preserve">New estimates show approximately 14.9 million </w:t>
      </w:r>
      <w:r w:rsidR="00CF20A9" w:rsidRPr="00365138">
        <w:t>C</w:t>
      </w:r>
      <w:r w:rsidR="00CF20A9">
        <w:t>OVID</w:t>
      </w:r>
      <w:r w:rsidR="004C3B7F" w:rsidRPr="00365138">
        <w:t>-19 pandemic-related deaths worldwide between January 1, 2020</w:t>
      </w:r>
      <w:r w:rsidR="08107371" w:rsidRPr="00365138">
        <w:t>, and</w:t>
      </w:r>
      <w:r w:rsidR="004C3B7F" w:rsidRPr="00365138">
        <w:t xml:space="preserve"> December 31, 2021.</w:t>
      </w:r>
      <w:r w:rsidR="004C3B7F" w:rsidRPr="00365138">
        <w:rPr>
          <w:rStyle w:val="FootnoteReference"/>
        </w:rPr>
        <w:footnoteReference w:id="80"/>
      </w:r>
      <w:r w:rsidR="004C3B7F" w:rsidRPr="00365138">
        <w:t xml:space="preserve">  The United States accounts for approximately 800,000 of these deaths.</w:t>
      </w:r>
      <w:r w:rsidR="004C3B7F" w:rsidRPr="00365138">
        <w:rPr>
          <w:rStyle w:val="FootnoteReference"/>
        </w:rPr>
        <w:footnoteReference w:id="81"/>
      </w:r>
      <w:r w:rsidR="004C3B7F" w:rsidRPr="00365138">
        <w:rPr>
          <w:rStyle w:val="FootnoteReference"/>
        </w:rPr>
        <w:t xml:space="preserve">  </w:t>
      </w:r>
      <w:r w:rsidR="00902540">
        <w:t xml:space="preserve"> </w:t>
      </w:r>
      <w:r w:rsidR="004C3B7F" w:rsidRPr="00365138">
        <w:t xml:space="preserve">This undoubtedly makes the </w:t>
      </w:r>
      <w:r w:rsidR="00CF20A9">
        <w:t>COVID</w:t>
      </w:r>
      <w:r w:rsidR="004C3B7F" w:rsidRPr="00365138">
        <w:t>-19 pandemic one of the greatest disasters of the 21st Century.</w:t>
      </w:r>
      <w:r w:rsidR="004C3B7F" w:rsidRPr="00365138">
        <w:rPr>
          <w:rStyle w:val="FootnoteReference"/>
        </w:rPr>
        <w:footnoteReference w:id="82"/>
      </w:r>
      <w:r w:rsidR="004C3B7F" w:rsidRPr="00365138">
        <w:t xml:space="preserve">  This also emphasizes the need for readiness for this type of public health crisis</w:t>
      </w:r>
      <w:r w:rsidR="004C3B7F">
        <w:t xml:space="preserve"> and</w:t>
      </w:r>
      <w:r w:rsidR="00CF20A9">
        <w:t xml:space="preserve"> </w:t>
      </w:r>
      <w:r w:rsidR="004C3B7F" w:rsidRPr="00365138">
        <w:t xml:space="preserve">telehealth </w:t>
      </w:r>
      <w:r w:rsidR="004C3B7F" w:rsidRPr="00365138">
        <w:lastRenderedPageBreak/>
        <w:t xml:space="preserve">will necessarily play a crucial role.  Although we may not know the date of the next pandemic, another one is most certain to happen.  </w:t>
      </w:r>
      <w:r w:rsidR="00232551">
        <w:t xml:space="preserve">According to one columnist, </w:t>
      </w:r>
      <w:r w:rsidR="004C3B7F" w:rsidRPr="00365138">
        <w:t>“As</w:t>
      </w:r>
      <w:r w:rsidR="004C3B7F" w:rsidRPr="004C3B7F">
        <w:rPr>
          <w:b/>
          <w:bCs/>
        </w:rPr>
        <w:t xml:space="preserve"> </w:t>
      </w:r>
      <w:r w:rsidR="004C3B7F" w:rsidRPr="00365138">
        <w:t>the global population grows, as the climate changes, and as humans push into spaces occupied by wild animals, future pandemics become more likely.  We are not guaranteed the luxury of facing just one a century, or even one at a time."</w:t>
      </w:r>
      <w:r w:rsidR="004C3B7F" w:rsidRPr="00365138">
        <w:rPr>
          <w:rStyle w:val="FootnoteReference"/>
        </w:rPr>
        <w:footnoteReference w:id="83"/>
      </w:r>
    </w:p>
    <w:p w14:paraId="6FF82899" w14:textId="2E263983" w:rsidR="003859F7" w:rsidRPr="00365138" w:rsidRDefault="003E6A0B" w:rsidP="00365138">
      <w:pPr>
        <w:pStyle w:val="BodyText"/>
        <w:spacing w:before="120" w:after="120"/>
        <w:ind w:left="0" w:firstLine="720"/>
      </w:pPr>
      <w:r>
        <w:rPr>
          <w:shd w:val="clear" w:color="auto" w:fill="FFFFFF"/>
        </w:rPr>
        <w:t>Healthcare policy stakeholders</w:t>
      </w:r>
      <w:r w:rsidR="003859F7" w:rsidRPr="00365138">
        <w:rPr>
          <w:shd w:val="clear" w:color="auto" w:fill="FFFFFF"/>
        </w:rPr>
        <w:t xml:space="preserve"> have learned </w:t>
      </w:r>
      <w:r w:rsidR="00AB6038" w:rsidRPr="00365138">
        <w:rPr>
          <w:shd w:val="clear" w:color="auto" w:fill="FFFFFF"/>
        </w:rPr>
        <w:t xml:space="preserve">many lessons from the COVID-19 pandemic, one of the greatest being that </w:t>
      </w:r>
      <w:r>
        <w:rPr>
          <w:shd w:val="clear" w:color="auto" w:fill="FFFFFF"/>
        </w:rPr>
        <w:t>the U.S. healthcare delivery system was</w:t>
      </w:r>
      <w:r w:rsidR="00AB6038" w:rsidRPr="00365138">
        <w:rPr>
          <w:shd w:val="clear" w:color="auto" w:fill="FFFFFF"/>
        </w:rPr>
        <w:t xml:space="preserve"> not adequately prepared.  For example, “</w:t>
      </w:r>
      <w:r w:rsidR="003859F7" w:rsidRPr="00365138">
        <w:rPr>
          <w:shd w:val="clear" w:color="auto" w:fill="FFFFFF"/>
        </w:rPr>
        <w:t>hospitals’ pre-COVID emergency management and disaster preparedness plans were insufficient to handle the scale, intensity, and duration of a health disaster like COVID-19.</w:t>
      </w:r>
      <w:r w:rsidR="00AB6038" w:rsidRPr="00365138">
        <w:rPr>
          <w:shd w:val="clear" w:color="auto" w:fill="FFFFFF"/>
        </w:rPr>
        <w:t>”</w:t>
      </w:r>
      <w:r w:rsidR="00AB6038" w:rsidRPr="00365138">
        <w:rPr>
          <w:rStyle w:val="FootnoteReference"/>
          <w:shd w:val="clear" w:color="auto" w:fill="FFFFFF"/>
        </w:rPr>
        <w:footnoteReference w:id="84"/>
      </w:r>
      <w:r w:rsidR="00AB6038" w:rsidRPr="00365138">
        <w:rPr>
          <w:shd w:val="clear" w:color="auto" w:fill="FFFFFF"/>
        </w:rPr>
        <w:t xml:space="preserve">  Although COVID-19 is not yet over, we must already begin to think about how we can integrate telehealth into emergency planning, so that we are better prepared in the future.  </w:t>
      </w:r>
      <w:r w:rsidR="00584EAA" w:rsidRPr="00365138">
        <w:rPr>
          <w:shd w:val="clear" w:color="auto" w:fill="FFFFFF"/>
        </w:rPr>
        <w:t>“[H]</w:t>
      </w:r>
      <w:proofErr w:type="spellStart"/>
      <w:r w:rsidR="003859F7" w:rsidRPr="00365138">
        <w:rPr>
          <w:shd w:val="clear" w:color="auto" w:fill="FFFFFF"/>
        </w:rPr>
        <w:t>ealth</w:t>
      </w:r>
      <w:proofErr w:type="spellEnd"/>
      <w:r w:rsidR="003859F7" w:rsidRPr="00365138">
        <w:rPr>
          <w:shd w:val="clear" w:color="auto" w:fill="FFFFFF"/>
        </w:rPr>
        <w:t xml:space="preserve"> care industry leaders and regulators have already begun to think about how to implement post-pandemic changes to health care delivery based on lessons learned during the global emergency of the past year and a half.  For instance, some temporary solutions to challenges presented by COVID-19 are being made permanent due to their proven efficiency or effectiveness.</w:t>
      </w:r>
      <w:r w:rsidR="004F6E2C">
        <w:rPr>
          <w:shd w:val="clear" w:color="auto" w:fill="FFFFFF"/>
        </w:rPr>
        <w:t xml:space="preserve">  </w:t>
      </w:r>
      <w:r w:rsidR="003859F7" w:rsidRPr="00365138">
        <w:rPr>
          <w:shd w:val="clear" w:color="auto" w:fill="FFFFFF"/>
        </w:rPr>
        <w:t>The</w:t>
      </w:r>
      <w:r w:rsidR="0086112C">
        <w:rPr>
          <w:shd w:val="clear" w:color="auto" w:fill="FFFFFF"/>
        </w:rPr>
        <w:t xml:space="preserve"> </w:t>
      </w:r>
      <w:r w:rsidR="00902540" w:rsidRPr="00526857">
        <w:t>expansion of telehealth</w:t>
      </w:r>
      <w:r w:rsidR="003859F7" w:rsidRPr="00365138">
        <w:rPr>
          <w:shd w:val="clear" w:color="auto" w:fill="FFFFFF"/>
        </w:rPr>
        <w:t> is a primary example of this.</w:t>
      </w:r>
      <w:r w:rsidR="00584EAA" w:rsidRPr="00365138">
        <w:rPr>
          <w:shd w:val="clear" w:color="auto" w:fill="FFFFFF"/>
        </w:rPr>
        <w:t>”</w:t>
      </w:r>
      <w:r w:rsidR="00584EAA" w:rsidRPr="00365138">
        <w:rPr>
          <w:rStyle w:val="FootnoteReference"/>
          <w:shd w:val="clear" w:color="auto" w:fill="FFFFFF"/>
        </w:rPr>
        <w:footnoteReference w:id="85"/>
      </w:r>
    </w:p>
    <w:p w14:paraId="2F2F66F7" w14:textId="380FB57D" w:rsidR="002B4775" w:rsidRPr="00365138" w:rsidRDefault="002B4775" w:rsidP="00365138">
      <w:pPr>
        <w:pStyle w:val="BodyText"/>
        <w:spacing w:before="120" w:after="120"/>
        <w:ind w:left="0" w:firstLine="719"/>
      </w:pPr>
      <w:r w:rsidRPr="00365138">
        <w:t>Telehealth services should</w:t>
      </w:r>
      <w:r w:rsidRPr="00365138">
        <w:rPr>
          <w:spacing w:val="-3"/>
        </w:rPr>
        <w:t xml:space="preserve"> </w:t>
      </w:r>
      <w:r w:rsidRPr="00365138">
        <w:t>be</w:t>
      </w:r>
      <w:r w:rsidRPr="00365138">
        <w:rPr>
          <w:spacing w:val="-2"/>
        </w:rPr>
        <w:t xml:space="preserve"> </w:t>
      </w:r>
      <w:r w:rsidRPr="00365138">
        <w:t>an</w:t>
      </w:r>
      <w:r w:rsidRPr="00365138">
        <w:rPr>
          <w:spacing w:val="-1"/>
        </w:rPr>
        <w:t xml:space="preserve"> </w:t>
      </w:r>
      <w:r w:rsidRPr="00365138">
        <w:t>integral part</w:t>
      </w:r>
      <w:r w:rsidRPr="00365138">
        <w:rPr>
          <w:spacing w:val="-1"/>
        </w:rPr>
        <w:t xml:space="preserve"> </w:t>
      </w:r>
      <w:r w:rsidRPr="00365138">
        <w:t>of</w:t>
      </w:r>
      <w:r w:rsidRPr="00365138">
        <w:rPr>
          <w:spacing w:val="-2"/>
        </w:rPr>
        <w:t xml:space="preserve"> every </w:t>
      </w:r>
      <w:r w:rsidR="00CF3C01">
        <w:t>emergency</w:t>
      </w:r>
      <w:r w:rsidR="00CF3C01" w:rsidRPr="00365138">
        <w:rPr>
          <w:spacing w:val="-1"/>
        </w:rPr>
        <w:t xml:space="preserve"> </w:t>
      </w:r>
      <w:r w:rsidRPr="00365138">
        <w:t>response,</w:t>
      </w:r>
      <w:r w:rsidRPr="00365138">
        <w:rPr>
          <w:spacing w:val="-52"/>
        </w:rPr>
        <w:t xml:space="preserve">  </w:t>
      </w:r>
      <w:r w:rsidRPr="00365138">
        <w:t xml:space="preserve"> recovery,</w:t>
      </w:r>
      <w:r w:rsidRPr="00365138">
        <w:rPr>
          <w:spacing w:val="-2"/>
        </w:rPr>
        <w:t xml:space="preserve"> </w:t>
      </w:r>
      <w:r w:rsidRPr="00365138">
        <w:t>and</w:t>
      </w:r>
      <w:r w:rsidRPr="00365138">
        <w:rPr>
          <w:spacing w:val="-2"/>
        </w:rPr>
        <w:t xml:space="preserve"> </w:t>
      </w:r>
      <w:r w:rsidRPr="00365138">
        <w:t>implementation</w:t>
      </w:r>
      <w:r w:rsidR="00CF3C01">
        <w:t xml:space="preserve"> plan</w:t>
      </w:r>
      <w:r w:rsidRPr="00365138">
        <w:t xml:space="preserve">.  </w:t>
      </w:r>
      <w:r w:rsidRPr="00365138">
        <w:rPr>
          <w:spacing w:val="1"/>
        </w:rPr>
        <w:t>In many ways,</w:t>
      </w:r>
      <w:r w:rsidRPr="00365138">
        <w:t xml:space="preserve"> </w:t>
      </w:r>
      <w:r w:rsidR="00CF3C01">
        <w:rPr>
          <w:spacing w:val="1"/>
        </w:rPr>
        <w:t>emergency</w:t>
      </w:r>
      <w:r w:rsidR="00CF3C01" w:rsidRPr="00365138">
        <w:rPr>
          <w:spacing w:val="1"/>
        </w:rPr>
        <w:t xml:space="preserve"> </w:t>
      </w:r>
      <w:r w:rsidRPr="00365138">
        <w:rPr>
          <w:spacing w:val="1"/>
        </w:rPr>
        <w:t xml:space="preserve">response parallels the challenges of delivering health care in rural areas </w:t>
      </w:r>
      <w:r w:rsidR="00211C0C">
        <w:rPr>
          <w:spacing w:val="1"/>
        </w:rPr>
        <w:t xml:space="preserve">in that there are usually challenges of </w:t>
      </w:r>
      <w:r w:rsidRPr="00365138">
        <w:rPr>
          <w:spacing w:val="1"/>
        </w:rPr>
        <w:t xml:space="preserve">limited resources. </w:t>
      </w:r>
      <w:r w:rsidRPr="00365138">
        <w:t xml:space="preserve"> But telehealth requires effective coordination of all the </w:t>
      </w:r>
      <w:r w:rsidR="00CF3C01">
        <w:t>emergency</w:t>
      </w:r>
      <w:r w:rsidR="00CF3C01" w:rsidRPr="00365138">
        <w:t xml:space="preserve"> </w:t>
      </w:r>
      <w:r w:rsidRPr="00365138">
        <w:t xml:space="preserve">management partners to </w:t>
      </w:r>
      <w:r w:rsidR="005214EE">
        <w:t>opt</w:t>
      </w:r>
      <w:r w:rsidR="005214EE" w:rsidRPr="00365138">
        <w:t xml:space="preserve">imize </w:t>
      </w:r>
      <w:r w:rsidRPr="00365138">
        <w:t xml:space="preserve">outcomes. </w:t>
      </w:r>
      <w:r w:rsidRPr="00365138">
        <w:rPr>
          <w:spacing w:val="51"/>
        </w:rPr>
        <w:t xml:space="preserve"> </w:t>
      </w:r>
      <w:r w:rsidRPr="00365138">
        <w:t>The medical support commercial community has been at the vanguard of promoting flexible telehealth solutions.  Today’s telehealth infrastructure offers much</w:t>
      </w:r>
      <w:r w:rsidRPr="00365138">
        <w:rPr>
          <w:spacing w:val="1"/>
        </w:rPr>
        <w:t xml:space="preserve"> </w:t>
      </w:r>
      <w:r w:rsidRPr="00365138">
        <w:t>quicker realignments in demand and supply capacity than in the past.  However, while business organizations rely on processes and technology to create greater flexibility, humanitarian</w:t>
      </w:r>
      <w:r w:rsidRPr="00365138">
        <w:rPr>
          <w:spacing w:val="1"/>
        </w:rPr>
        <w:t xml:space="preserve"> </w:t>
      </w:r>
      <w:r w:rsidRPr="00365138">
        <w:t>organizations</w:t>
      </w:r>
      <w:r w:rsidRPr="00365138">
        <w:rPr>
          <w:spacing w:val="-1"/>
        </w:rPr>
        <w:t xml:space="preserve"> still </w:t>
      </w:r>
      <w:r w:rsidRPr="00365138">
        <w:t>tend</w:t>
      </w:r>
      <w:r w:rsidRPr="00365138">
        <w:rPr>
          <w:spacing w:val="1"/>
        </w:rPr>
        <w:t xml:space="preserve"> </w:t>
      </w:r>
      <w:r w:rsidRPr="00365138">
        <w:t>to be driven</w:t>
      </w:r>
      <w:r w:rsidRPr="00365138">
        <w:rPr>
          <w:spacing w:val="1"/>
        </w:rPr>
        <w:t xml:space="preserve"> </w:t>
      </w:r>
      <w:r w:rsidRPr="00365138">
        <w:t>by people and</w:t>
      </w:r>
      <w:r w:rsidRPr="00365138">
        <w:rPr>
          <w:spacing w:val="1"/>
        </w:rPr>
        <w:t xml:space="preserve"> </w:t>
      </w:r>
      <w:r w:rsidRPr="00365138">
        <w:t>paper.</w:t>
      </w:r>
      <w:r w:rsidR="004F6E2C">
        <w:t xml:space="preserve">  </w:t>
      </w:r>
      <w:r w:rsidRPr="00365138">
        <w:t xml:space="preserve">The role of government regulators in </w:t>
      </w:r>
      <w:r w:rsidR="00211C0C">
        <w:t>emergency</w:t>
      </w:r>
      <w:r w:rsidR="00211C0C" w:rsidRPr="00365138">
        <w:t xml:space="preserve"> </w:t>
      </w:r>
      <w:r w:rsidRPr="00365138">
        <w:t xml:space="preserve">management can be an effective bridge between business and humanitarian organizations to help create more predictable and manageable </w:t>
      </w:r>
      <w:r w:rsidR="00211C0C">
        <w:t>emergency</w:t>
      </w:r>
      <w:r w:rsidR="00211C0C" w:rsidRPr="00365138">
        <w:t xml:space="preserve"> </w:t>
      </w:r>
      <w:r w:rsidRPr="00365138">
        <w:t>relief chains.</w:t>
      </w:r>
    </w:p>
    <w:p w14:paraId="07128746" w14:textId="41F08CE5" w:rsidR="002B4775" w:rsidRPr="0057121E" w:rsidRDefault="002B4775" w:rsidP="00365138">
      <w:pPr>
        <w:pStyle w:val="BodyText"/>
        <w:spacing w:before="120" w:after="120"/>
        <w:ind w:left="0" w:firstLine="719"/>
      </w:pPr>
      <w:r w:rsidRPr="0057121E">
        <w:t>Telehealth services is an important and necessary component to the challenge of healthcare</w:t>
      </w:r>
      <w:r w:rsidRPr="0057121E">
        <w:rPr>
          <w:spacing w:val="1"/>
        </w:rPr>
        <w:t xml:space="preserve"> </w:t>
      </w:r>
      <w:r w:rsidRPr="0057121E">
        <w:t xml:space="preserve">access during a </w:t>
      </w:r>
      <w:r w:rsidR="00CF3C01" w:rsidRPr="0057121E">
        <w:t>health emergency</w:t>
      </w:r>
      <w:r w:rsidRPr="0057121E">
        <w:t>, particularly</w:t>
      </w:r>
      <w:r w:rsidRPr="0057121E">
        <w:rPr>
          <w:spacing w:val="-1"/>
        </w:rPr>
        <w:t xml:space="preserve"> </w:t>
      </w:r>
      <w:r w:rsidRPr="0057121E">
        <w:t>in</w:t>
      </w:r>
      <w:r w:rsidRPr="0057121E">
        <w:rPr>
          <w:spacing w:val="-1"/>
        </w:rPr>
        <w:t xml:space="preserve"> </w:t>
      </w:r>
      <w:r w:rsidRPr="0057121E">
        <w:t>rural,</w:t>
      </w:r>
      <w:r w:rsidRPr="0057121E">
        <w:rPr>
          <w:spacing w:val="-1"/>
        </w:rPr>
        <w:t xml:space="preserve"> t</w:t>
      </w:r>
      <w:r w:rsidRPr="0057121E">
        <w:t>ribal,</w:t>
      </w:r>
      <w:r w:rsidRPr="0057121E">
        <w:rPr>
          <w:spacing w:val="-2"/>
        </w:rPr>
        <w:t xml:space="preserve"> </w:t>
      </w:r>
      <w:r w:rsidRPr="0057121E">
        <w:t>and</w:t>
      </w:r>
      <w:r w:rsidRPr="0057121E">
        <w:rPr>
          <w:spacing w:val="-1"/>
        </w:rPr>
        <w:t xml:space="preserve"> </w:t>
      </w:r>
      <w:r w:rsidRPr="0057121E">
        <w:t xml:space="preserve">territorial areas, but flexibility is key.  After a </w:t>
      </w:r>
      <w:r w:rsidR="00CF3C01" w:rsidRPr="0057121E">
        <w:t>public health emergency</w:t>
      </w:r>
      <w:r w:rsidRPr="0057121E">
        <w:t>, when local healthcare facilities may be destroyed or otherwise unavailable,</w:t>
      </w:r>
      <w:r w:rsidRPr="0057121E">
        <w:rPr>
          <w:spacing w:val="1"/>
        </w:rPr>
        <w:t xml:space="preserve"> </w:t>
      </w:r>
      <w:r w:rsidRPr="0057121E">
        <w:t>telehealth may be</w:t>
      </w:r>
      <w:r w:rsidRPr="0057121E">
        <w:rPr>
          <w:spacing w:val="-2"/>
        </w:rPr>
        <w:t xml:space="preserve"> </w:t>
      </w:r>
      <w:r w:rsidRPr="0057121E">
        <w:t>the</w:t>
      </w:r>
      <w:r w:rsidRPr="0057121E">
        <w:rPr>
          <w:spacing w:val="-2"/>
        </w:rPr>
        <w:t xml:space="preserve"> </w:t>
      </w:r>
      <w:r w:rsidRPr="0057121E">
        <w:t>only</w:t>
      </w:r>
      <w:r w:rsidRPr="0057121E">
        <w:rPr>
          <w:spacing w:val="-2"/>
        </w:rPr>
        <w:t xml:space="preserve"> </w:t>
      </w:r>
      <w:r w:rsidRPr="0057121E">
        <w:t>way</w:t>
      </w:r>
      <w:r w:rsidRPr="0057121E">
        <w:rPr>
          <w:spacing w:val="-1"/>
        </w:rPr>
        <w:t xml:space="preserve"> </w:t>
      </w:r>
      <w:r w:rsidRPr="0057121E">
        <w:t>for</w:t>
      </w:r>
      <w:r w:rsidRPr="0057121E">
        <w:rPr>
          <w:spacing w:val="-1"/>
        </w:rPr>
        <w:t xml:space="preserve"> </w:t>
      </w:r>
      <w:r w:rsidRPr="0057121E">
        <w:t>vital</w:t>
      </w:r>
      <w:r w:rsidRPr="0057121E">
        <w:rPr>
          <w:spacing w:val="-2"/>
        </w:rPr>
        <w:t xml:space="preserve"> </w:t>
      </w:r>
      <w:r w:rsidRPr="0057121E">
        <w:t>health</w:t>
      </w:r>
      <w:r w:rsidRPr="0057121E">
        <w:rPr>
          <w:spacing w:val="-2"/>
        </w:rPr>
        <w:t xml:space="preserve"> </w:t>
      </w:r>
      <w:r w:rsidRPr="0057121E">
        <w:t>care</w:t>
      </w:r>
      <w:r w:rsidRPr="0057121E">
        <w:rPr>
          <w:spacing w:val="-2"/>
        </w:rPr>
        <w:t xml:space="preserve"> </w:t>
      </w:r>
      <w:r w:rsidRPr="0057121E">
        <w:t>services</w:t>
      </w:r>
      <w:r w:rsidRPr="0057121E">
        <w:rPr>
          <w:spacing w:val="-3"/>
        </w:rPr>
        <w:t xml:space="preserve"> </w:t>
      </w:r>
      <w:r w:rsidRPr="0057121E">
        <w:t>to</w:t>
      </w:r>
      <w:r w:rsidRPr="0057121E">
        <w:rPr>
          <w:spacing w:val="-1"/>
        </w:rPr>
        <w:t xml:space="preserve"> </w:t>
      </w:r>
      <w:r w:rsidRPr="0057121E">
        <w:t>be</w:t>
      </w:r>
      <w:r w:rsidRPr="0057121E">
        <w:rPr>
          <w:spacing w:val="-2"/>
        </w:rPr>
        <w:t xml:space="preserve"> </w:t>
      </w:r>
      <w:r w:rsidRPr="0057121E">
        <w:t>provided</w:t>
      </w:r>
      <w:r w:rsidRPr="0057121E">
        <w:rPr>
          <w:spacing w:val="-2"/>
        </w:rPr>
        <w:t xml:space="preserve"> </w:t>
      </w:r>
      <w:r w:rsidRPr="0057121E">
        <w:t>to</w:t>
      </w:r>
      <w:r w:rsidRPr="0057121E">
        <w:rPr>
          <w:spacing w:val="-1"/>
        </w:rPr>
        <w:t xml:space="preserve"> </w:t>
      </w:r>
      <w:r w:rsidRPr="0057121E">
        <w:t>the</w:t>
      </w:r>
      <w:r w:rsidRPr="0057121E">
        <w:rPr>
          <w:spacing w:val="-2"/>
        </w:rPr>
        <w:t xml:space="preserve"> </w:t>
      </w:r>
      <w:r w:rsidRPr="0057121E">
        <w:t>public.</w:t>
      </w:r>
      <w:r w:rsidR="005C0EEC" w:rsidRPr="0057121E">
        <w:rPr>
          <w:rStyle w:val="FootnoteReference"/>
        </w:rPr>
        <w:footnoteReference w:id="86"/>
      </w:r>
      <w:r w:rsidRPr="0057121E">
        <w:rPr>
          <w:spacing w:val="4"/>
        </w:rPr>
        <w:t xml:space="preserve">  </w:t>
      </w:r>
      <w:r w:rsidRPr="0057121E">
        <w:t>For</w:t>
      </w:r>
      <w:r w:rsidRPr="0057121E">
        <w:rPr>
          <w:spacing w:val="-3"/>
        </w:rPr>
        <w:t xml:space="preserve"> </w:t>
      </w:r>
      <w:r w:rsidRPr="0057121E">
        <w:t>telehealth</w:t>
      </w:r>
      <w:r w:rsidRPr="0057121E">
        <w:rPr>
          <w:spacing w:val="-52"/>
        </w:rPr>
        <w:t xml:space="preserve"> </w:t>
      </w:r>
      <w:r w:rsidRPr="0057121E">
        <w:t xml:space="preserve"> to be effective in responding to </w:t>
      </w:r>
      <w:r w:rsidR="00CF3C01" w:rsidRPr="0057121E">
        <w:t>such emergencies</w:t>
      </w:r>
      <w:r w:rsidRPr="0057121E">
        <w:t xml:space="preserve">, however, healthcare organizations, local governments and all </w:t>
      </w:r>
      <w:r w:rsidR="00CF3C01" w:rsidRPr="0057121E">
        <w:t>emer</w:t>
      </w:r>
      <w:r w:rsidR="00211C0C" w:rsidRPr="0057121E">
        <w:t>g</w:t>
      </w:r>
      <w:r w:rsidR="00CF3C01" w:rsidRPr="0057121E">
        <w:t xml:space="preserve">ency </w:t>
      </w:r>
      <w:r w:rsidRPr="0057121E">
        <w:t>management partners must be able to</w:t>
      </w:r>
      <w:r w:rsidRPr="0057121E">
        <w:rPr>
          <w:spacing w:val="-52"/>
        </w:rPr>
        <w:t xml:space="preserve">  </w:t>
      </w:r>
      <w:r w:rsidRPr="0057121E">
        <w:t xml:space="preserve"> deal with the unexpected. </w:t>
      </w:r>
      <w:r w:rsidR="004F6E2C" w:rsidRPr="0057121E">
        <w:t xml:space="preserve"> </w:t>
      </w:r>
      <w:r w:rsidRPr="0057121E">
        <w:t xml:space="preserve">Not only may the location, nature, cause, and scale of the </w:t>
      </w:r>
      <w:r w:rsidR="00CF3C01" w:rsidRPr="0057121E">
        <w:t>emergency</w:t>
      </w:r>
      <w:r w:rsidRPr="0057121E">
        <w:t xml:space="preserve"> be</w:t>
      </w:r>
      <w:r w:rsidRPr="0057121E">
        <w:rPr>
          <w:spacing w:val="1"/>
        </w:rPr>
        <w:t xml:space="preserve"> </w:t>
      </w:r>
      <w:r w:rsidRPr="0057121E">
        <w:t xml:space="preserve">unpredictable, but the actors in the relief chain may be new.  An effective telehealth system should be flexible enough to integrate partners who were not part of the coordinated system that existed before the </w:t>
      </w:r>
      <w:r w:rsidR="00CF3C01" w:rsidRPr="0057121E">
        <w:t xml:space="preserve">emergency </w:t>
      </w:r>
      <w:r w:rsidRPr="0057121E">
        <w:t>occurred.</w:t>
      </w:r>
    </w:p>
    <w:p w14:paraId="0A70E0D0" w14:textId="4ADE25D2" w:rsidR="005E167C" w:rsidRPr="00365138" w:rsidRDefault="005E167C" w:rsidP="00365138">
      <w:pPr>
        <w:pStyle w:val="BodyText"/>
        <w:spacing w:before="120" w:after="120"/>
        <w:ind w:left="0" w:firstLine="720"/>
      </w:pPr>
      <w:r w:rsidRPr="00365138">
        <w:t>With any emergency preparedness plan, careful</w:t>
      </w:r>
      <w:r w:rsidRPr="00365138">
        <w:rPr>
          <w:spacing w:val="1"/>
        </w:rPr>
        <w:t xml:space="preserve"> </w:t>
      </w:r>
      <w:r w:rsidRPr="00365138">
        <w:t>consideration must be given to all</w:t>
      </w:r>
      <w:r w:rsidRPr="00365138">
        <w:rPr>
          <w:spacing w:val="-1"/>
        </w:rPr>
        <w:t xml:space="preserve"> </w:t>
      </w:r>
      <w:r w:rsidRPr="00365138">
        <w:t>feasible</w:t>
      </w:r>
      <w:r w:rsidRPr="00365138">
        <w:rPr>
          <w:spacing w:val="-3"/>
        </w:rPr>
        <w:t xml:space="preserve"> </w:t>
      </w:r>
      <w:r w:rsidRPr="00365138">
        <w:t>technical</w:t>
      </w:r>
      <w:r w:rsidRPr="00365138">
        <w:rPr>
          <w:spacing w:val="-2"/>
        </w:rPr>
        <w:t xml:space="preserve"> </w:t>
      </w:r>
      <w:r w:rsidRPr="00365138">
        <w:t>solutions</w:t>
      </w:r>
      <w:r w:rsidRPr="00365138">
        <w:rPr>
          <w:spacing w:val="-1"/>
        </w:rPr>
        <w:t xml:space="preserve"> </w:t>
      </w:r>
      <w:r w:rsidRPr="00365138">
        <w:t>and</w:t>
      </w:r>
      <w:r w:rsidRPr="00365138">
        <w:rPr>
          <w:spacing w:val="-2"/>
        </w:rPr>
        <w:t xml:space="preserve"> </w:t>
      </w:r>
      <w:r w:rsidRPr="00365138">
        <w:t>resources to optimize saving lives,</w:t>
      </w:r>
      <w:r w:rsidRPr="00365138">
        <w:rPr>
          <w:spacing w:val="-53"/>
        </w:rPr>
        <w:t xml:space="preserve">  </w:t>
      </w:r>
      <w:r w:rsidRPr="00365138">
        <w:t xml:space="preserve"> efficiency,</w:t>
      </w:r>
      <w:r w:rsidRPr="00365138">
        <w:rPr>
          <w:spacing w:val="-2"/>
        </w:rPr>
        <w:t xml:space="preserve"> </w:t>
      </w:r>
      <w:r w:rsidRPr="00365138">
        <w:t>and</w:t>
      </w:r>
      <w:r w:rsidRPr="00365138">
        <w:rPr>
          <w:spacing w:val="-1"/>
        </w:rPr>
        <w:t xml:space="preserve"> </w:t>
      </w:r>
      <w:r w:rsidRPr="00365138">
        <w:t>cost-effectiveness.  For example, remote healthcare</w:t>
      </w:r>
      <w:r w:rsidRPr="00365138">
        <w:rPr>
          <w:spacing w:val="1"/>
        </w:rPr>
        <w:t xml:space="preserve"> </w:t>
      </w:r>
      <w:r w:rsidRPr="00365138">
        <w:t xml:space="preserve">providers may alleviate some of the surge in </w:t>
      </w:r>
      <w:r w:rsidR="008554C9">
        <w:t>pandemic</w:t>
      </w:r>
      <w:r w:rsidRPr="00365138">
        <w:t>-related health services through telehealth</w:t>
      </w:r>
      <w:r w:rsidRPr="00365138">
        <w:rPr>
          <w:spacing w:val="1"/>
        </w:rPr>
        <w:t xml:space="preserve"> </w:t>
      </w:r>
      <w:r w:rsidRPr="00365138">
        <w:t>connectivity.</w:t>
      </w:r>
      <w:r w:rsidR="00EA4529">
        <w:rPr>
          <w:spacing w:val="51"/>
        </w:rPr>
        <w:t xml:space="preserve"> </w:t>
      </w:r>
      <w:r w:rsidRPr="00365138">
        <w:t>There</w:t>
      </w:r>
      <w:r w:rsidRPr="00365138">
        <w:rPr>
          <w:spacing w:val="-2"/>
        </w:rPr>
        <w:t xml:space="preserve"> </w:t>
      </w:r>
      <w:r w:rsidRPr="00365138">
        <w:t>are</w:t>
      </w:r>
      <w:r w:rsidRPr="00365138">
        <w:rPr>
          <w:spacing w:val="-3"/>
        </w:rPr>
        <w:t xml:space="preserve"> </w:t>
      </w:r>
      <w:r w:rsidRPr="00365138">
        <w:t>increasingly advanced</w:t>
      </w:r>
      <w:r w:rsidR="001E1DD2" w:rsidRPr="00365138">
        <w:t>,</w:t>
      </w:r>
      <w:r w:rsidRPr="00365138">
        <w:rPr>
          <w:spacing w:val="-2"/>
        </w:rPr>
        <w:t xml:space="preserve"> </w:t>
      </w:r>
      <w:r w:rsidRPr="00365138">
        <w:t>self-contained</w:t>
      </w:r>
      <w:r w:rsidRPr="00365138">
        <w:rPr>
          <w:spacing w:val="-1"/>
        </w:rPr>
        <w:t xml:space="preserve"> </w:t>
      </w:r>
      <w:r w:rsidRPr="00365138">
        <w:t>“medical</w:t>
      </w:r>
      <w:r w:rsidRPr="00365138">
        <w:rPr>
          <w:spacing w:val="-3"/>
        </w:rPr>
        <w:t xml:space="preserve"> </w:t>
      </w:r>
      <w:r w:rsidRPr="00365138">
        <w:t>units”</w:t>
      </w:r>
      <w:r w:rsidRPr="00365138">
        <w:rPr>
          <w:spacing w:val="-2"/>
        </w:rPr>
        <w:t xml:space="preserve"> </w:t>
      </w:r>
      <w:r w:rsidRPr="00365138">
        <w:t>that</w:t>
      </w:r>
      <w:r w:rsidRPr="00365138">
        <w:rPr>
          <w:spacing w:val="-1"/>
        </w:rPr>
        <w:t xml:space="preserve"> </w:t>
      </w:r>
      <w:r w:rsidRPr="00365138">
        <w:lastRenderedPageBreak/>
        <w:t>provide</w:t>
      </w:r>
      <w:r w:rsidRPr="00365138">
        <w:rPr>
          <w:spacing w:val="-3"/>
        </w:rPr>
        <w:t xml:space="preserve"> </w:t>
      </w:r>
      <w:r w:rsidRPr="00365138">
        <w:t>connectivity</w:t>
      </w:r>
      <w:r w:rsidRPr="00365138">
        <w:rPr>
          <w:spacing w:val="-1"/>
        </w:rPr>
        <w:t xml:space="preserve"> </w:t>
      </w:r>
      <w:r w:rsidRPr="00365138">
        <w:t xml:space="preserve">to </w:t>
      </w:r>
      <w:r w:rsidRPr="00365138">
        <w:rPr>
          <w:spacing w:val="-52"/>
        </w:rPr>
        <w:t xml:space="preserve"> </w:t>
      </w:r>
      <w:r w:rsidRPr="00365138">
        <w:t>electronic medical records, video/image capabilities, and clinical equipment necessary for telehealth</w:t>
      </w:r>
      <w:r w:rsidRPr="00365138">
        <w:rPr>
          <w:spacing w:val="1"/>
        </w:rPr>
        <w:t xml:space="preserve"> </w:t>
      </w:r>
      <w:r w:rsidRPr="00365138">
        <w:t>consults.</w:t>
      </w:r>
      <w:r w:rsidRPr="00365138">
        <w:rPr>
          <w:spacing w:val="1"/>
        </w:rPr>
        <w:t xml:space="preserve">  </w:t>
      </w:r>
      <w:r w:rsidRPr="00365138">
        <w:t>These units may be cost-prohibitive for some communities and satellite communication may</w:t>
      </w:r>
      <w:r w:rsidRPr="00365138">
        <w:rPr>
          <w:spacing w:val="1"/>
        </w:rPr>
        <w:t xml:space="preserve"> </w:t>
      </w:r>
      <w:r w:rsidRPr="00365138">
        <w:t xml:space="preserve">not be readily available </w:t>
      </w:r>
      <w:r w:rsidR="007C6205" w:rsidRPr="00365138">
        <w:t>to</w:t>
      </w:r>
      <w:r w:rsidRPr="00365138">
        <w:t xml:space="preserve"> other areas, but that is why careful planning is necessary to best optimize care and resources.  Severely under-resourced areas </w:t>
      </w:r>
      <w:r w:rsidR="007C6205" w:rsidRPr="00365138">
        <w:t>will face</w:t>
      </w:r>
      <w:r w:rsidRPr="00365138">
        <w:t xml:space="preserve"> the greatest </w:t>
      </w:r>
      <w:r w:rsidR="007C6205" w:rsidRPr="00365138">
        <w:t>challenges</w:t>
      </w:r>
      <w:r w:rsidRPr="00365138">
        <w:t xml:space="preserve"> f</w:t>
      </w:r>
      <w:r w:rsidR="007C6205" w:rsidRPr="00365138">
        <w:t>inding</w:t>
      </w:r>
      <w:r w:rsidRPr="00365138">
        <w:t xml:space="preserve"> support and funding for technical</w:t>
      </w:r>
      <w:r w:rsidRPr="00365138">
        <w:rPr>
          <w:spacing w:val="1"/>
        </w:rPr>
        <w:t xml:space="preserve"> </w:t>
      </w:r>
      <w:r w:rsidRPr="00365138">
        <w:t xml:space="preserve">assistance </w:t>
      </w:r>
      <w:r w:rsidR="007C6205" w:rsidRPr="00365138">
        <w:t>in integrating</w:t>
      </w:r>
      <w:r w:rsidRPr="00365138">
        <w:t xml:space="preserve"> protocols and procedures into</w:t>
      </w:r>
      <w:r w:rsidRPr="00365138">
        <w:rPr>
          <w:spacing w:val="1"/>
        </w:rPr>
        <w:t xml:space="preserve"> </w:t>
      </w:r>
      <w:r w:rsidR="00553FC6">
        <w:t>emergency</w:t>
      </w:r>
      <w:r w:rsidRPr="00365138">
        <w:rPr>
          <w:spacing w:val="-2"/>
        </w:rPr>
        <w:t xml:space="preserve"> </w:t>
      </w:r>
      <w:r w:rsidR="007C6205" w:rsidRPr="00365138">
        <w:t>m</w:t>
      </w:r>
      <w:r w:rsidRPr="00365138">
        <w:t xml:space="preserve">anagement </w:t>
      </w:r>
      <w:r w:rsidR="007C6205" w:rsidRPr="00365138">
        <w:t>p</w:t>
      </w:r>
      <w:r w:rsidRPr="00365138">
        <w:t>lans.</w:t>
      </w:r>
      <w:r w:rsidR="007C6205" w:rsidRPr="00365138">
        <w:rPr>
          <w:spacing w:val="52"/>
        </w:rPr>
        <w:t xml:space="preserve"> </w:t>
      </w:r>
      <w:r w:rsidR="007C6205" w:rsidRPr="00365138">
        <w:t>However, advanced p</w:t>
      </w:r>
      <w:r w:rsidRPr="00365138">
        <w:t>lanning</w:t>
      </w:r>
      <w:r w:rsidRPr="00365138">
        <w:rPr>
          <w:spacing w:val="-1"/>
        </w:rPr>
        <w:t xml:space="preserve"> </w:t>
      </w:r>
      <w:r w:rsidRPr="00365138">
        <w:t>will</w:t>
      </w:r>
      <w:r w:rsidRPr="00365138">
        <w:rPr>
          <w:spacing w:val="-2"/>
        </w:rPr>
        <w:t xml:space="preserve"> </w:t>
      </w:r>
      <w:r w:rsidRPr="00365138">
        <w:t>enable</w:t>
      </w:r>
      <w:r w:rsidRPr="00365138">
        <w:rPr>
          <w:spacing w:val="-2"/>
        </w:rPr>
        <w:t xml:space="preserve"> </w:t>
      </w:r>
      <w:r w:rsidR="007C6205" w:rsidRPr="00365138">
        <w:rPr>
          <w:spacing w:val="-2"/>
        </w:rPr>
        <w:t xml:space="preserve">all </w:t>
      </w:r>
      <w:r w:rsidR="007C6205" w:rsidRPr="00365138">
        <w:t>communities</w:t>
      </w:r>
      <w:r w:rsidRPr="00365138">
        <w:rPr>
          <w:spacing w:val="-3"/>
        </w:rPr>
        <w:t xml:space="preserve"> </w:t>
      </w:r>
      <w:r w:rsidRPr="00365138">
        <w:t>to</w:t>
      </w:r>
      <w:r w:rsidRPr="00365138">
        <w:rPr>
          <w:spacing w:val="-1"/>
        </w:rPr>
        <w:t xml:space="preserve"> </w:t>
      </w:r>
      <w:r w:rsidRPr="00365138">
        <w:t>take</w:t>
      </w:r>
      <w:r w:rsidRPr="00365138">
        <w:rPr>
          <w:spacing w:val="-2"/>
        </w:rPr>
        <w:t xml:space="preserve"> </w:t>
      </w:r>
      <w:r w:rsidRPr="00365138">
        <w:t>advantage</w:t>
      </w:r>
      <w:r w:rsidRPr="00365138">
        <w:rPr>
          <w:spacing w:val="-2"/>
        </w:rPr>
        <w:t xml:space="preserve"> </w:t>
      </w:r>
      <w:r w:rsidRPr="00365138">
        <w:t>of</w:t>
      </w:r>
      <w:r w:rsidRPr="00365138">
        <w:rPr>
          <w:spacing w:val="-3"/>
        </w:rPr>
        <w:t xml:space="preserve"> </w:t>
      </w:r>
      <w:r w:rsidRPr="00365138">
        <w:t>the</w:t>
      </w:r>
      <w:r w:rsidRPr="00365138">
        <w:rPr>
          <w:spacing w:val="-2"/>
        </w:rPr>
        <w:t xml:space="preserve"> </w:t>
      </w:r>
      <w:r w:rsidRPr="00365138">
        <w:t>wide</w:t>
      </w:r>
      <w:r w:rsidRPr="00365138">
        <w:rPr>
          <w:spacing w:val="-2"/>
        </w:rPr>
        <w:t xml:space="preserve"> </w:t>
      </w:r>
      <w:r w:rsidR="007C6205" w:rsidRPr="00365138">
        <w:t xml:space="preserve">array of technical and medical advancements </w:t>
      </w:r>
      <w:r w:rsidRPr="00365138">
        <w:t>for</w:t>
      </w:r>
      <w:r w:rsidRPr="00365138">
        <w:rPr>
          <w:spacing w:val="1"/>
        </w:rPr>
        <w:t xml:space="preserve"> </w:t>
      </w:r>
      <w:r w:rsidR="007C6205" w:rsidRPr="00365138">
        <w:rPr>
          <w:spacing w:val="1"/>
        </w:rPr>
        <w:t xml:space="preserve">the </w:t>
      </w:r>
      <w:r w:rsidR="007C6205" w:rsidRPr="00365138">
        <w:t xml:space="preserve">better provision of </w:t>
      </w:r>
      <w:r w:rsidR="00553FC6">
        <w:t>telehealth care</w:t>
      </w:r>
      <w:r w:rsidR="007C6205" w:rsidRPr="00365138">
        <w:t xml:space="preserve"> during a public health</w:t>
      </w:r>
      <w:r w:rsidR="00553FC6">
        <w:t xml:space="preserve"> emergency</w:t>
      </w:r>
      <w:r w:rsidR="007C6205" w:rsidRPr="00365138">
        <w:t xml:space="preserve"> such as the </w:t>
      </w:r>
      <w:r w:rsidR="00F93B60" w:rsidRPr="00365138">
        <w:t>COVID-19</w:t>
      </w:r>
      <w:r w:rsidR="007C6205" w:rsidRPr="00365138">
        <w:t xml:space="preserve"> pandemic.</w:t>
      </w:r>
    </w:p>
    <w:p w14:paraId="59E1D33D" w14:textId="2A3043DC" w:rsidR="00E4053A" w:rsidRPr="00365138" w:rsidRDefault="00155978" w:rsidP="00365138">
      <w:pPr>
        <w:spacing w:before="120" w:after="120"/>
        <w:ind w:firstLine="720"/>
      </w:pPr>
      <w:r>
        <w:t xml:space="preserve">The </w:t>
      </w:r>
      <w:r w:rsidR="00F93B60">
        <w:t>COVID-19</w:t>
      </w:r>
      <w:r>
        <w:t xml:space="preserve"> pandemic taught us that there is much more </w:t>
      </w:r>
      <w:r w:rsidR="00A637D5">
        <w:t xml:space="preserve">emergency </w:t>
      </w:r>
      <w:r>
        <w:t xml:space="preserve">response partners can do to </w:t>
      </w:r>
      <w:r w:rsidR="000F17A9">
        <w:t xml:space="preserve">better </w:t>
      </w:r>
      <w:r>
        <w:t xml:space="preserve">ready themselves for the next pandemic.  </w:t>
      </w:r>
      <w:r w:rsidR="1CCD5A1E">
        <w:t>R</w:t>
      </w:r>
      <w:r>
        <w:t xml:space="preserve">eadiness plans should be incorporated into all telehealth-integrated </w:t>
      </w:r>
      <w:r w:rsidR="00A637D5">
        <w:t xml:space="preserve">emergency </w:t>
      </w:r>
      <w:r>
        <w:t xml:space="preserve">management plans.  For example, all </w:t>
      </w:r>
      <w:r w:rsidR="00A637D5">
        <w:t xml:space="preserve">emergency </w:t>
      </w:r>
      <w:r>
        <w:t>response partners, including government agencies</w:t>
      </w:r>
      <w:r w:rsidR="00075E49">
        <w:t xml:space="preserve"> and healthcare providers,</w:t>
      </w:r>
      <w:r>
        <w:t xml:space="preserve"> should provide information</w:t>
      </w:r>
      <w:r w:rsidR="00075E49">
        <w:t xml:space="preserve"> to communities</w:t>
      </w:r>
      <w:r>
        <w:t xml:space="preserve"> relating to access to telehealth. </w:t>
      </w:r>
      <w:r w:rsidR="00E4053A">
        <w:t xml:space="preserve"> </w:t>
      </w:r>
      <w:r w:rsidR="5C1BA984">
        <w:t>Similarly</w:t>
      </w:r>
      <w:r w:rsidR="00E4053A">
        <w:t xml:space="preserve">, telehealth hotlines and websites could provide information </w:t>
      </w:r>
      <w:r w:rsidR="00D27056">
        <w:t xml:space="preserve">and guidance to communities </w:t>
      </w:r>
      <w:r w:rsidR="00E4053A">
        <w:t xml:space="preserve">on the need to work with </w:t>
      </w:r>
      <w:r w:rsidR="00D27056">
        <w:t xml:space="preserve">their </w:t>
      </w:r>
      <w:r w:rsidR="00E4053A">
        <w:t>doctor</w:t>
      </w:r>
      <w:r w:rsidR="00D27056">
        <w:t>s</w:t>
      </w:r>
      <w:r w:rsidR="00E4053A">
        <w:t xml:space="preserve"> on</w:t>
      </w:r>
      <w:r w:rsidR="00EA4529">
        <w:t>:</w:t>
      </w:r>
      <w:r w:rsidR="00E4053A">
        <w:t xml:space="preserve"> </w:t>
      </w:r>
      <w:r w:rsidR="00902540">
        <w:t>(</w:t>
      </w:r>
      <w:r w:rsidR="00E4053A">
        <w:t xml:space="preserve">1) </w:t>
      </w:r>
      <w:r w:rsidR="00D27056">
        <w:t>how to access their doctors</w:t>
      </w:r>
      <w:r w:rsidR="000F17A9">
        <w:t>’</w:t>
      </w:r>
      <w:r w:rsidR="00D27056">
        <w:t xml:space="preserve"> telehealth services; </w:t>
      </w:r>
      <w:r w:rsidR="00902540">
        <w:t>(</w:t>
      </w:r>
      <w:r w:rsidR="00D27056">
        <w:t xml:space="preserve">2) </w:t>
      </w:r>
      <w:r w:rsidR="00E4053A">
        <w:t xml:space="preserve">how to maintain health and wellness between telehealth visits; </w:t>
      </w:r>
      <w:r w:rsidR="00902540">
        <w:t>(</w:t>
      </w:r>
      <w:r w:rsidR="00D27056">
        <w:t>3</w:t>
      </w:r>
      <w:r w:rsidR="00E4053A">
        <w:t xml:space="preserve">) how to update or access prescription medication </w:t>
      </w:r>
      <w:r w:rsidR="00D27056">
        <w:t xml:space="preserve">if the doctor’s office is closed or inaccessible; </w:t>
      </w:r>
      <w:r w:rsidR="00902540">
        <w:t>(</w:t>
      </w:r>
      <w:r w:rsidR="00D27056">
        <w:t>4) how</w:t>
      </w:r>
      <w:r w:rsidR="00E4053A">
        <w:t xml:space="preserve"> to prepare an emergency supply of prescriptions and medical supplies; </w:t>
      </w:r>
      <w:r w:rsidR="00D27056">
        <w:t xml:space="preserve">and </w:t>
      </w:r>
      <w:r w:rsidR="00902540">
        <w:t>(</w:t>
      </w:r>
      <w:r w:rsidR="00D27056">
        <w:t>5</w:t>
      </w:r>
      <w:r w:rsidR="00E4053A">
        <w:t xml:space="preserve">) </w:t>
      </w:r>
      <w:r w:rsidR="00D27056">
        <w:t xml:space="preserve">how to collect and ready important medical records and documents for telehealth visits.  In turn, doctors’ offices </w:t>
      </w:r>
      <w:r w:rsidR="00306BB9">
        <w:t xml:space="preserve">and other healthcare providers </w:t>
      </w:r>
      <w:r w:rsidR="00D27056">
        <w:t xml:space="preserve">should </w:t>
      </w:r>
      <w:r w:rsidR="000F17A9">
        <w:t xml:space="preserve">also </w:t>
      </w:r>
      <w:r w:rsidR="00D27056">
        <w:t xml:space="preserve">be prepared to </w:t>
      </w:r>
      <w:r w:rsidR="000F17A9">
        <w:t>communicate</w:t>
      </w:r>
      <w:r w:rsidR="00D27056">
        <w:t xml:space="preserve"> </w:t>
      </w:r>
      <w:r w:rsidR="000F17A9">
        <w:t xml:space="preserve">this </w:t>
      </w:r>
      <w:r w:rsidR="00D27056">
        <w:t xml:space="preserve">telehealth </w:t>
      </w:r>
      <w:r w:rsidR="000F17A9">
        <w:t xml:space="preserve">information </w:t>
      </w:r>
      <w:r w:rsidR="00D27056">
        <w:t>to their patients</w:t>
      </w:r>
      <w:r w:rsidR="00C8632B">
        <w:t xml:space="preserve"> with and without disabilities</w:t>
      </w:r>
      <w:r w:rsidR="000F17A9">
        <w:t xml:space="preserve"> via letters, emails, texts, websites</w:t>
      </w:r>
      <w:r w:rsidR="463E18B7">
        <w:t>,</w:t>
      </w:r>
      <w:r w:rsidR="000F17A9">
        <w:t xml:space="preserve"> and more.</w:t>
      </w:r>
    </w:p>
    <w:p w14:paraId="2B021DDD" w14:textId="6D605BE0" w:rsidR="000F17A9" w:rsidRPr="00BC7878" w:rsidRDefault="000F17A9" w:rsidP="00365138">
      <w:pPr>
        <w:spacing w:before="120" w:after="120"/>
        <w:ind w:firstLine="720"/>
        <w:rPr>
          <w:shd w:val="clear" w:color="auto" w:fill="FFFFFF"/>
        </w:rPr>
      </w:pPr>
      <w:r>
        <w:t xml:space="preserve">At </w:t>
      </w:r>
      <w:r w:rsidR="00B62BC3">
        <w:t>times during</w:t>
      </w:r>
      <w:r>
        <w:t xml:space="preserve"> the C</w:t>
      </w:r>
      <w:r w:rsidR="00CF20A9">
        <w:t>OVID</w:t>
      </w:r>
      <w:r>
        <w:t xml:space="preserve">-19 pandemic, </w:t>
      </w:r>
      <w:r w:rsidR="00B62BC3">
        <w:t>certain</w:t>
      </w:r>
      <w:r>
        <w:t xml:space="preserve"> healthcare </w:t>
      </w:r>
      <w:r w:rsidR="00B62BC3">
        <w:t xml:space="preserve">providers </w:t>
      </w:r>
      <w:r w:rsidR="006F1DFE">
        <w:t xml:space="preserve">not deemed essential </w:t>
      </w:r>
      <w:r w:rsidR="00B62BC3">
        <w:t>were</w:t>
      </w:r>
      <w:r>
        <w:t xml:space="preserve"> closed for </w:t>
      </w:r>
      <w:r w:rsidR="00F91E50">
        <w:t>some</w:t>
      </w:r>
      <w:r>
        <w:t xml:space="preserve"> period of </w:t>
      </w:r>
      <w:r w:rsidR="00B62BC3">
        <w:t xml:space="preserve">time and patients were not always given good information on options for alternate care.  Additionally, many patients were not sure what to do when they felt </w:t>
      </w:r>
      <w:r w:rsidR="00D258D1">
        <w:t>COVID</w:t>
      </w:r>
      <w:r w:rsidR="00B62BC3">
        <w:t xml:space="preserve">-like symptoms or tested positive for </w:t>
      </w:r>
      <w:r w:rsidR="00D258D1">
        <w:t>COVID</w:t>
      </w:r>
      <w:r w:rsidR="00B62BC3">
        <w:t xml:space="preserve">. </w:t>
      </w:r>
      <w:r w:rsidR="00D258D1">
        <w:t xml:space="preserve"> </w:t>
      </w:r>
      <w:r w:rsidR="00B62BC3">
        <w:t>Some providers were simply overrun with the overwhelming number of patients resulting from the pandemic.</w:t>
      </w:r>
      <w:r w:rsidR="00FA111E">
        <w:rPr>
          <w:rStyle w:val="FootnoteReference"/>
        </w:rPr>
        <w:footnoteReference w:id="87"/>
      </w:r>
      <w:r w:rsidR="00B62BC3">
        <w:t xml:space="preserve">  Other patients needing </w:t>
      </w:r>
      <w:r w:rsidR="0078100D">
        <w:t xml:space="preserve">routine care or appointments for </w:t>
      </w:r>
      <w:r w:rsidR="00B62BC3">
        <w:t xml:space="preserve">chronic conditions found </w:t>
      </w:r>
      <w:r w:rsidR="0078100D">
        <w:t>long wait times for appointments.</w:t>
      </w:r>
      <w:r w:rsidR="00B62BC3">
        <w:t xml:space="preserve">  Telehealth-integrated </w:t>
      </w:r>
      <w:r w:rsidR="00D258D1">
        <w:t xml:space="preserve">emergency </w:t>
      </w:r>
      <w:r w:rsidR="00B62BC3">
        <w:t>response partners should study</w:t>
      </w:r>
      <w:r>
        <w:t xml:space="preserve"> </w:t>
      </w:r>
      <w:r w:rsidR="0078100D">
        <w:t xml:space="preserve">these issues, many of them related to the novelty of the </w:t>
      </w:r>
      <w:r w:rsidR="001E1DD2">
        <w:t>c</w:t>
      </w:r>
      <w:r w:rsidR="0078100D">
        <w:t>or</w:t>
      </w:r>
      <w:r w:rsidR="001E1DD2">
        <w:t>o</w:t>
      </w:r>
      <w:r w:rsidR="0078100D">
        <w:t xml:space="preserve">navirus and develop coordinated plans to address such issues in the future in </w:t>
      </w:r>
      <w:r w:rsidR="00D258D1">
        <w:t xml:space="preserve">emergency </w:t>
      </w:r>
      <w:r w:rsidR="0078100D">
        <w:t>management plans</w:t>
      </w:r>
      <w:r w:rsidR="00D258D1">
        <w:t>.</w:t>
      </w:r>
    </w:p>
    <w:p w14:paraId="5A763538" w14:textId="6541A299" w:rsidR="004104F2" w:rsidRPr="00BC7878" w:rsidRDefault="004104F2" w:rsidP="00582E94">
      <w:pPr>
        <w:pStyle w:val="BodyText"/>
        <w:spacing w:before="120" w:after="120"/>
        <w:ind w:left="0" w:right="317" w:firstLine="720"/>
      </w:pPr>
      <w:r w:rsidRPr="00BC7878">
        <w:t xml:space="preserve">Telehealth services can be a much needed and essential part of </w:t>
      </w:r>
      <w:r w:rsidR="006364B7" w:rsidRPr="00BC7878">
        <w:t>responding to and recovering from a public health emergency</w:t>
      </w:r>
      <w:r w:rsidRPr="00BC7878">
        <w:t>.</w:t>
      </w:r>
      <w:r w:rsidRPr="00BC7878">
        <w:rPr>
          <w:spacing w:val="1"/>
        </w:rPr>
        <w:t xml:space="preserve">  </w:t>
      </w:r>
      <w:r w:rsidRPr="00BC7878">
        <w:t xml:space="preserve">For that reason, it is essential that </w:t>
      </w:r>
      <w:r w:rsidR="006364B7" w:rsidRPr="00BC7878">
        <w:t xml:space="preserve">emergency </w:t>
      </w:r>
      <w:r w:rsidRPr="00BC7878">
        <w:t>mitigation efforts include planning for telehealth</w:t>
      </w:r>
      <w:r w:rsidRPr="00BC7878">
        <w:rPr>
          <w:spacing w:val="1"/>
        </w:rPr>
        <w:t xml:space="preserve"> </w:t>
      </w:r>
      <w:r w:rsidRPr="00BC7878">
        <w:t>and ensuring</w:t>
      </w:r>
      <w:r w:rsidRPr="00BC7878">
        <w:rPr>
          <w:spacing w:val="-1"/>
        </w:rPr>
        <w:t xml:space="preserve"> </w:t>
      </w:r>
      <w:r w:rsidRPr="00BC7878">
        <w:t>that</w:t>
      </w:r>
      <w:r w:rsidRPr="00BC7878">
        <w:rPr>
          <w:spacing w:val="-2"/>
        </w:rPr>
        <w:t xml:space="preserve"> </w:t>
      </w:r>
      <w:r w:rsidRPr="00BC7878">
        <w:t>resilient</w:t>
      </w:r>
      <w:r w:rsidRPr="00BC7878">
        <w:rPr>
          <w:spacing w:val="-1"/>
        </w:rPr>
        <w:t xml:space="preserve"> </w:t>
      </w:r>
      <w:r w:rsidRPr="00BC7878">
        <w:t>broadband</w:t>
      </w:r>
      <w:r w:rsidRPr="00BC7878">
        <w:rPr>
          <w:spacing w:val="-2"/>
        </w:rPr>
        <w:t xml:space="preserve"> </w:t>
      </w:r>
      <w:r w:rsidRPr="00BC7878">
        <w:t>infrastructure</w:t>
      </w:r>
      <w:r w:rsidRPr="00BC7878">
        <w:rPr>
          <w:spacing w:val="-2"/>
        </w:rPr>
        <w:t xml:space="preserve"> </w:t>
      </w:r>
      <w:r w:rsidRPr="00BC7878">
        <w:t>is</w:t>
      </w:r>
      <w:r w:rsidRPr="00BC7878">
        <w:rPr>
          <w:spacing w:val="-2"/>
        </w:rPr>
        <w:t xml:space="preserve"> </w:t>
      </w:r>
      <w:r w:rsidRPr="00BC7878">
        <w:t>in</w:t>
      </w:r>
      <w:r w:rsidRPr="00BC7878">
        <w:rPr>
          <w:spacing w:val="-2"/>
        </w:rPr>
        <w:t xml:space="preserve"> </w:t>
      </w:r>
      <w:r w:rsidRPr="00BC7878">
        <w:t>place</w:t>
      </w:r>
      <w:r w:rsidRPr="00BC7878">
        <w:rPr>
          <w:spacing w:val="-2"/>
        </w:rPr>
        <w:t xml:space="preserve"> </w:t>
      </w:r>
      <w:r w:rsidRPr="00BC7878">
        <w:t>to</w:t>
      </w:r>
      <w:r w:rsidRPr="00BC7878">
        <w:rPr>
          <w:spacing w:val="-2"/>
        </w:rPr>
        <w:t xml:space="preserve"> </w:t>
      </w:r>
      <w:r w:rsidRPr="00BC7878">
        <w:t>support</w:t>
      </w:r>
      <w:r w:rsidR="006364B7" w:rsidRPr="00BC7878">
        <w:t xml:space="preserve"> telehealth services</w:t>
      </w:r>
      <w:r w:rsidRPr="00BC7878">
        <w:t>.</w:t>
      </w:r>
    </w:p>
    <w:p w14:paraId="2207BDE5" w14:textId="3E8E01A2" w:rsidR="006C4E5E" w:rsidRDefault="006C4E5E" w:rsidP="006C4E5E">
      <w:pPr>
        <w:pStyle w:val="Heading1"/>
      </w:pPr>
      <w:bookmarkStart w:id="70" w:name="_Toc114492073"/>
      <w:bookmarkStart w:id="71" w:name="_Toc115353771"/>
      <w:r>
        <w:t>SELECTED CASE STUDIES</w:t>
      </w:r>
      <w:bookmarkEnd w:id="70"/>
      <w:bookmarkEnd w:id="71"/>
    </w:p>
    <w:p w14:paraId="42EE8A6D" w14:textId="49035235" w:rsidR="006C4E5E" w:rsidRDefault="006C4E5E" w:rsidP="00030585">
      <w:pPr>
        <w:ind w:firstLine="720"/>
      </w:pPr>
      <w:r>
        <w:t xml:space="preserve">We have identified case studies </w:t>
      </w:r>
      <w:r w:rsidR="00253B44">
        <w:t xml:space="preserve">in Ohio and Michigan </w:t>
      </w:r>
      <w:r>
        <w:t>that</w:t>
      </w:r>
      <w:r w:rsidR="006E62F8">
        <w:t xml:space="preserve"> provide useful models for public policy </w:t>
      </w:r>
      <w:r w:rsidR="00902540">
        <w:t xml:space="preserve">telehealth </w:t>
      </w:r>
      <w:r w:rsidR="006E62F8">
        <w:t>initiatives.</w:t>
      </w:r>
    </w:p>
    <w:p w14:paraId="5441545C" w14:textId="6102AFD2" w:rsidR="006C4E5E" w:rsidRDefault="006C4E5E" w:rsidP="00580258">
      <w:pPr>
        <w:pStyle w:val="Heading2"/>
        <w:numPr>
          <w:ilvl w:val="0"/>
          <w:numId w:val="43"/>
        </w:numPr>
        <w:ind w:left="1368"/>
      </w:pPr>
      <w:bookmarkStart w:id="72" w:name="_Toc114492074"/>
      <w:bookmarkStart w:id="73" w:name="_Toc115353772"/>
      <w:r>
        <w:t>Ohio Telehealth Case Studies</w:t>
      </w:r>
      <w:bookmarkEnd w:id="72"/>
      <w:bookmarkEnd w:id="73"/>
    </w:p>
    <w:p w14:paraId="694E2250" w14:textId="4135E166" w:rsidR="006C4E5E" w:rsidRPr="00055EBD" w:rsidRDefault="006C4E5E" w:rsidP="006C4E5E">
      <w:pPr>
        <w:pStyle w:val="BodyText"/>
        <w:spacing w:before="120"/>
        <w:ind w:left="0"/>
        <w:rPr>
          <w:bCs/>
        </w:rPr>
      </w:pPr>
      <w:r>
        <w:rPr>
          <w:bCs/>
        </w:rPr>
        <w:tab/>
      </w:r>
      <w:r w:rsidRPr="278F0A51">
        <w:t>As a result of infrastructure assistance</w:t>
      </w:r>
      <w:r>
        <w:rPr>
          <w:bCs/>
        </w:rPr>
        <w:t>,</w:t>
      </w:r>
      <w:r w:rsidRPr="278F0A51">
        <w:t xml:space="preserve"> such as the </w:t>
      </w:r>
      <w:r w:rsidR="006E62F8">
        <w:t xml:space="preserve">FCC’s </w:t>
      </w:r>
      <w:r w:rsidRPr="278F0A51">
        <w:t>E-</w:t>
      </w:r>
      <w:r w:rsidR="006E62F8">
        <w:t>R</w:t>
      </w:r>
      <w:r w:rsidRPr="278F0A51">
        <w:t>ate</w:t>
      </w:r>
      <w:r w:rsidR="006E62F8">
        <w:t xml:space="preserve"> program</w:t>
      </w:r>
      <w:r w:rsidR="006E62F8">
        <w:rPr>
          <w:bCs/>
        </w:rPr>
        <w:t>,</w:t>
      </w:r>
      <w:r w:rsidRPr="278F0A51">
        <w:rPr>
          <w:rStyle w:val="FootnoteReference"/>
        </w:rPr>
        <w:footnoteReference w:id="88"/>
      </w:r>
      <w:r>
        <w:rPr>
          <w:bCs/>
        </w:rPr>
        <w:t xml:space="preserve"> </w:t>
      </w:r>
      <w:r w:rsidRPr="278F0A51">
        <w:t xml:space="preserve">schools may </w:t>
      </w:r>
      <w:r w:rsidRPr="278F0A51">
        <w:lastRenderedPageBreak/>
        <w:t>sometimes have better internet connectivity than their surrounding communities</w:t>
      </w:r>
      <w:r w:rsidRPr="00055EBD">
        <w:rPr>
          <w:bCs/>
        </w:rPr>
        <w:t xml:space="preserve">.  </w:t>
      </w:r>
      <w:r w:rsidRPr="278F0A51">
        <w:t xml:space="preserve">Consequently, </w:t>
      </w:r>
      <w:r>
        <w:t xml:space="preserve">Ohio </w:t>
      </w:r>
      <w:r w:rsidRPr="278F0A51">
        <w:t>schools have become places where children may now have the opportunity to receive mental and primary care service</w:t>
      </w:r>
      <w:r>
        <w:t>s</w:t>
      </w:r>
      <w:r w:rsidRPr="278F0A51">
        <w:t xml:space="preserve"> through a telehealth system.  This puts </w:t>
      </w:r>
      <w:r>
        <w:t xml:space="preserve">Ohio </w:t>
      </w:r>
      <w:r w:rsidRPr="278F0A51">
        <w:t xml:space="preserve">school systems at the </w:t>
      </w:r>
      <w:r>
        <w:t>intersection</w:t>
      </w:r>
      <w:r w:rsidRPr="278F0A51">
        <w:t xml:space="preserve"> of student need and available resources.</w:t>
      </w:r>
    </w:p>
    <w:p w14:paraId="75874F8B" w14:textId="1F759FCF" w:rsidR="006C4E5E" w:rsidRPr="00714488" w:rsidRDefault="006C4E5E" w:rsidP="006C4E5E">
      <w:pPr>
        <w:pStyle w:val="BodyText"/>
        <w:spacing w:before="120"/>
        <w:ind w:left="0"/>
        <w:rPr>
          <w:bCs/>
        </w:rPr>
      </w:pPr>
      <w:r>
        <w:rPr>
          <w:bCs/>
        </w:rPr>
        <w:tab/>
      </w:r>
      <w:r w:rsidRPr="278F0A51">
        <w:t xml:space="preserve">Ohio has two major telehealth initiatives currently underway where the schools are being used as a conduit to provide telehealth services to students.  First, the Switzerland of Ohio school district in Monroe County has eight different school buildings, all of which are connected to a robust fiber connection through the state research and education network, </w:t>
      </w:r>
      <w:proofErr w:type="spellStart"/>
      <w:r w:rsidRPr="278F0A51">
        <w:t>OARnet</w:t>
      </w:r>
      <w:proofErr w:type="spellEnd"/>
      <w:r w:rsidRPr="00055EBD">
        <w:rPr>
          <w:bCs/>
        </w:rPr>
        <w:t>.</w:t>
      </w:r>
      <w:r w:rsidRPr="278F0A51">
        <w:rPr>
          <w:rStyle w:val="FootnoteReference"/>
        </w:rPr>
        <w:footnoteReference w:id="89"/>
      </w:r>
      <w:r w:rsidRPr="278F0A51">
        <w:t xml:space="preserve">  Each building has been equipped with the necessary technology and room upgrades to be able to accommodate telehealth services.  Currently, the sites are being used for mental health services, where a provider no longer needs to drive over an hour to provide crisis intervention</w:t>
      </w:r>
      <w:r w:rsidRPr="004B1199">
        <w:rPr>
          <w:bCs/>
        </w:rPr>
        <w:t xml:space="preserve">.  </w:t>
      </w:r>
      <w:r>
        <w:rPr>
          <w:bCs/>
        </w:rPr>
        <w:t>“</w:t>
      </w:r>
      <w:r w:rsidRPr="00714488">
        <w:rPr>
          <w:spacing w:val="2"/>
          <w:shd w:val="clear" w:color="auto" w:fill="FFFFFF"/>
        </w:rPr>
        <w:t>On March 9, 2020, the state announced the launch of a telehealth pilot project to connect students with behavioral health providers</w:t>
      </w:r>
      <w:r>
        <w:rPr>
          <w:spacing w:val="2"/>
          <w:shd w:val="clear" w:color="auto" w:fill="FFFFFF"/>
        </w:rPr>
        <w:t>.</w:t>
      </w:r>
      <w:r w:rsidR="00EA4529">
        <w:rPr>
          <w:spacing w:val="2"/>
          <w:shd w:val="clear" w:color="auto" w:fill="FFFFFF"/>
        </w:rPr>
        <w:t xml:space="preserve"> </w:t>
      </w:r>
      <w:r w:rsidRPr="00714488">
        <w:rPr>
          <w:spacing w:val="2"/>
          <w:shd w:val="clear" w:color="auto" w:fill="FFFFFF"/>
        </w:rPr>
        <w:t xml:space="preserve"> The objective is to connect the school district with behavioral health services while also providing high-speed internet connections to Ohioans who have been </w:t>
      </w:r>
      <w:r>
        <w:rPr>
          <w:spacing w:val="2"/>
          <w:shd w:val="clear" w:color="auto" w:fill="FFFFFF"/>
        </w:rPr>
        <w:t xml:space="preserve">digitally </w:t>
      </w:r>
      <w:r w:rsidRPr="00714488">
        <w:rPr>
          <w:spacing w:val="2"/>
          <w:shd w:val="clear" w:color="auto" w:fill="FFFFFF"/>
        </w:rPr>
        <w:t>left behind.</w:t>
      </w:r>
      <w:r>
        <w:rPr>
          <w:spacing w:val="2"/>
          <w:shd w:val="clear" w:color="auto" w:fill="FFFFFF"/>
        </w:rPr>
        <w:t>”</w:t>
      </w:r>
      <w:r>
        <w:rPr>
          <w:rStyle w:val="FootnoteReference"/>
          <w:spacing w:val="2"/>
          <w:shd w:val="clear" w:color="auto" w:fill="FFFFFF"/>
        </w:rPr>
        <w:footnoteReference w:id="90"/>
      </w:r>
    </w:p>
    <w:p w14:paraId="19ECAA9B" w14:textId="76C6A533" w:rsidR="006C4E5E" w:rsidRDefault="006C4E5E" w:rsidP="00030585">
      <w:pPr>
        <w:pStyle w:val="BodyText"/>
        <w:spacing w:before="120"/>
        <w:ind w:left="0"/>
      </w:pPr>
      <w:r>
        <w:rPr>
          <w:bCs/>
        </w:rPr>
        <w:tab/>
      </w:r>
      <w:r w:rsidRPr="278F0A51">
        <w:t xml:space="preserve">The second initiative is </w:t>
      </w:r>
      <w:r w:rsidRPr="000D4867">
        <w:rPr>
          <w:spacing w:val="2"/>
          <w:shd w:val="clear" w:color="auto" w:fill="FFFFFF"/>
        </w:rPr>
        <w:t xml:space="preserve">The Muskingum Valley ESC’s School-Based </w:t>
      </w:r>
      <w:proofErr w:type="spellStart"/>
      <w:r w:rsidRPr="000D4867">
        <w:rPr>
          <w:spacing w:val="2"/>
          <w:shd w:val="clear" w:color="auto" w:fill="FFFFFF"/>
        </w:rPr>
        <w:t>Telemental</w:t>
      </w:r>
      <w:proofErr w:type="spellEnd"/>
      <w:r w:rsidRPr="000D4867">
        <w:rPr>
          <w:spacing w:val="2"/>
          <w:shd w:val="clear" w:color="auto" w:fill="FFFFFF"/>
        </w:rPr>
        <w:t xml:space="preserve"> Health in Appalachian Ohio Project, which will “provide telehealth services to 15 school districts, spanning six counties in rural Appalachian Ohio.”</w:t>
      </w:r>
      <w:r w:rsidRPr="278F0A51">
        <w:rPr>
          <w:rStyle w:val="FootnoteReference"/>
        </w:rPr>
        <w:footnoteReference w:id="91"/>
      </w:r>
      <w:r w:rsidRPr="000D4867">
        <w:rPr>
          <w:bCs/>
        </w:rPr>
        <w:t xml:space="preserve"> </w:t>
      </w:r>
      <w:r w:rsidRPr="278F0A51">
        <w:t xml:space="preserve"> The </w:t>
      </w:r>
      <w:r w:rsidRPr="000D4867">
        <w:rPr>
          <w:spacing w:val="2"/>
          <w:shd w:val="clear" w:color="auto" w:fill="FFFFFF"/>
        </w:rPr>
        <w:t xml:space="preserve">expansion initiative will connect nearly 20,000 students to telehealth services through a $1.15 million appropriation by </w:t>
      </w:r>
      <w:proofErr w:type="spellStart"/>
      <w:r w:rsidRPr="000D4867">
        <w:rPr>
          <w:spacing w:val="2"/>
          <w:shd w:val="clear" w:color="auto" w:fill="FFFFFF"/>
        </w:rPr>
        <w:t>InnovateOhio</w:t>
      </w:r>
      <w:proofErr w:type="spellEnd"/>
      <w:r w:rsidRPr="000D4867">
        <w:rPr>
          <w:spacing w:val="2"/>
          <w:shd w:val="clear" w:color="auto" w:fill="FFFFFF"/>
        </w:rPr>
        <w:t xml:space="preserve">. </w:t>
      </w:r>
      <w:r>
        <w:rPr>
          <w:spacing w:val="2"/>
          <w:shd w:val="clear" w:color="auto" w:fill="FFFFFF"/>
        </w:rPr>
        <w:t xml:space="preserve"> </w:t>
      </w:r>
      <w:r w:rsidRPr="000D4867">
        <w:rPr>
          <w:spacing w:val="2"/>
          <w:shd w:val="clear" w:color="auto" w:fill="FFFFFF"/>
        </w:rPr>
        <w:t>Funding for this program also allows four school districts in the region to access telemedicine support for students with acute illness or chronic conditions through remote access to pediatricians and other providers.</w:t>
      </w:r>
    </w:p>
    <w:p w14:paraId="0080C0BF" w14:textId="1B4A5CBF" w:rsidR="00253B44" w:rsidRPr="00253B44" w:rsidRDefault="006C4E5E" w:rsidP="00030585">
      <w:pPr>
        <w:pStyle w:val="Heading2"/>
        <w:rPr>
          <w:bCs/>
        </w:rPr>
      </w:pPr>
      <w:bookmarkStart w:id="74" w:name="_Toc114492075"/>
      <w:bookmarkStart w:id="75" w:name="_Toc115353773"/>
      <w:r>
        <w:t>Michigan Digital Literacy</w:t>
      </w:r>
      <w:r w:rsidRPr="00EA05A0">
        <w:t xml:space="preserve"> Case Stud</w:t>
      </w:r>
      <w:r>
        <w:t>y</w:t>
      </w:r>
      <w:bookmarkEnd w:id="74"/>
      <w:bookmarkEnd w:id="75"/>
    </w:p>
    <w:p w14:paraId="68E18C73" w14:textId="1FB9F8CA" w:rsidR="006C4E5E" w:rsidRPr="004F6E2C" w:rsidRDefault="006C4E5E" w:rsidP="00030585">
      <w:pPr>
        <w:ind w:firstLine="720"/>
      </w:pPr>
      <w:r w:rsidRPr="00A969D5">
        <w:t>In Detroit, Michigan, the City of Detroit, Wayne State University, the United Way of Southeast Michigan, Microsoft and others worked to digitally empower 8,000 Detroit seniors through their Connect 313</w:t>
      </w:r>
      <w:r>
        <w:t xml:space="preserve"> initiative</w:t>
      </w:r>
      <w:r w:rsidRPr="00A969D5">
        <w:t>.</w:t>
      </w:r>
      <w:r w:rsidRPr="00A969D5">
        <w:rPr>
          <w:rStyle w:val="FootnoteReference"/>
        </w:rPr>
        <w:footnoteReference w:id="92"/>
      </w:r>
      <w:r w:rsidRPr="00A969D5">
        <w:t xml:space="preserve">  Through Connect 313, seniors were provided with a computing device, subsidized internet access, and tech support to ultimately assist them in navigating health portals.  The local partners identified digital literacy and technical support to be a longstanding challenge that, if uncorrected, would lead some low-income seniors to forgo digital care.  </w:t>
      </w:r>
      <w:r w:rsidRPr="004F6E2C">
        <w:t>Through Connect</w:t>
      </w:r>
      <w:r w:rsidR="005214EE" w:rsidRPr="004F6E2C">
        <w:t xml:space="preserve"> </w:t>
      </w:r>
      <w:r w:rsidRPr="004F6E2C">
        <w:t xml:space="preserve">313, Michigan sought to “close the digital gap in Detroit by providing tablets, digital training and tech-enabled healthcare services to low-income elders.”  The program is funded through a $3.9 million dollar grant and signifies the effort to ensure that low-income seniors have adequate access to technology.  “The disparity in digital equity is a systemic, generational issue that was exacerbated by the COVID-19 pandemic,” said Joshua Edmonds, </w:t>
      </w:r>
      <w:r w:rsidRPr="004F6E2C">
        <w:lastRenderedPageBreak/>
        <w:t xml:space="preserve">Digital Director for the City of Detroit and Chief Advocate of Connect 313. </w:t>
      </w:r>
      <w:r w:rsidR="00357546" w:rsidRPr="004F6E2C">
        <w:t xml:space="preserve"> </w:t>
      </w:r>
      <w:r w:rsidRPr="004F6E2C">
        <w:t xml:space="preserve">“Connect 313 is designed to undertake an ecosystem approach to eradicate the digital divide. </w:t>
      </w:r>
      <w:r w:rsidR="00EA4529" w:rsidRPr="004F6E2C">
        <w:t xml:space="preserve"> </w:t>
      </w:r>
      <w:r w:rsidRPr="004F6E2C">
        <w:t>We’ve already made great strides in connecting students to critical technology resources, but we must not lose focus on our seniors who are facing economic hardship and persistent technology adoption challenges that make telehealth a distant reality.”  Wayne State University President M. Roy Wilson, stated that “[t]his initiative rallies Wayne State resources to support low-income older adults with much needed access to primary health services and accelerates our commitment to eliminate health disparities in our community.”</w:t>
      </w:r>
    </w:p>
    <w:p w14:paraId="41E1334F" w14:textId="77777777" w:rsidR="003C089A" w:rsidRDefault="005B7E50" w:rsidP="00030585">
      <w:pPr>
        <w:pStyle w:val="Heading1"/>
      </w:pPr>
      <w:bookmarkStart w:id="76" w:name="_Toc114492076"/>
      <w:bookmarkStart w:id="77" w:name="_bookmark18"/>
      <w:bookmarkStart w:id="78" w:name="_Toc114492077"/>
      <w:bookmarkStart w:id="79" w:name="_Toc115353774"/>
      <w:bookmarkEnd w:id="76"/>
      <w:bookmarkEnd w:id="77"/>
      <w:r>
        <w:t>CONCLUSION</w:t>
      </w:r>
      <w:r>
        <w:rPr>
          <w:spacing w:val="-4"/>
        </w:rPr>
        <w:t xml:space="preserve"> </w:t>
      </w:r>
      <w:r>
        <w:t>AND</w:t>
      </w:r>
      <w:r>
        <w:rPr>
          <w:spacing w:val="-5"/>
        </w:rPr>
        <w:t xml:space="preserve"> </w:t>
      </w:r>
      <w:r>
        <w:t>RECOMMENDATIONS</w:t>
      </w:r>
      <w:bookmarkEnd w:id="78"/>
      <w:bookmarkEnd w:id="79"/>
    </w:p>
    <w:p w14:paraId="3324D837" w14:textId="2C2D1BD1" w:rsidR="00F91E50" w:rsidRDefault="00435D4D" w:rsidP="00F91E50">
      <w:pPr>
        <w:pStyle w:val="BodyText"/>
        <w:ind w:left="0" w:firstLine="720"/>
      </w:pPr>
      <w:r>
        <w:t xml:space="preserve">Increased utilization of telehealth </w:t>
      </w:r>
      <w:r w:rsidR="002F7406">
        <w:t xml:space="preserve">services </w:t>
      </w:r>
      <w:r>
        <w:t xml:space="preserve">will benefit from further </w:t>
      </w:r>
      <w:r w:rsidR="00021918">
        <w:t>support,</w:t>
      </w:r>
      <w:r w:rsidR="00021918">
        <w:rPr>
          <w:spacing w:val="1"/>
        </w:rPr>
        <w:t xml:space="preserve"> </w:t>
      </w:r>
      <w:r w:rsidR="00021918">
        <w:t>teaching</w:t>
      </w:r>
      <w:r w:rsidR="00021918">
        <w:rPr>
          <w:spacing w:val="-2"/>
        </w:rPr>
        <w:t xml:space="preserve"> </w:t>
      </w:r>
      <w:r w:rsidR="00021918">
        <w:t>and</w:t>
      </w:r>
      <w:r w:rsidR="00021918">
        <w:rPr>
          <w:spacing w:val="-2"/>
        </w:rPr>
        <w:t xml:space="preserve"> </w:t>
      </w:r>
      <w:r w:rsidR="00021918">
        <w:t>training</w:t>
      </w:r>
      <w:r w:rsidR="00423030">
        <w:t xml:space="preserve"> from governments, health</w:t>
      </w:r>
      <w:r w:rsidR="006E6406">
        <w:t>care providers, and technology developers</w:t>
      </w:r>
      <w:r>
        <w:rPr>
          <w:spacing w:val="-2"/>
        </w:rPr>
        <w:t xml:space="preserve">.  </w:t>
      </w:r>
      <w:r>
        <w:t>I</w:t>
      </w:r>
      <w:r w:rsidR="00021918">
        <w:t>mplementation</w:t>
      </w:r>
      <w:r w:rsidR="00021918">
        <w:rPr>
          <w:spacing w:val="-2"/>
        </w:rPr>
        <w:t xml:space="preserve"> </w:t>
      </w:r>
      <w:r w:rsidR="00021918">
        <w:t>of</w:t>
      </w:r>
      <w:r w:rsidR="00021918">
        <w:rPr>
          <w:spacing w:val="-2"/>
        </w:rPr>
        <w:t xml:space="preserve"> </w:t>
      </w:r>
      <w:r w:rsidR="00021918">
        <w:t>specific</w:t>
      </w:r>
      <w:r w:rsidR="00021918">
        <w:rPr>
          <w:spacing w:val="-2"/>
        </w:rPr>
        <w:t xml:space="preserve"> </w:t>
      </w:r>
      <w:r w:rsidR="00021918">
        <w:t>funding</w:t>
      </w:r>
      <w:r w:rsidR="00021918">
        <w:rPr>
          <w:spacing w:val="-3"/>
        </w:rPr>
        <w:t xml:space="preserve"> </w:t>
      </w:r>
      <w:r w:rsidR="00021918">
        <w:t>and</w:t>
      </w:r>
      <w:r w:rsidR="00021918">
        <w:rPr>
          <w:spacing w:val="-1"/>
        </w:rPr>
        <w:t xml:space="preserve"> </w:t>
      </w:r>
      <w:r w:rsidR="00021918">
        <w:t>support</w:t>
      </w:r>
      <w:r w:rsidR="00021918">
        <w:rPr>
          <w:spacing w:val="-2"/>
        </w:rPr>
        <w:t xml:space="preserve"> </w:t>
      </w:r>
      <w:r w:rsidR="00021918">
        <w:t>will</w:t>
      </w:r>
      <w:r w:rsidR="00021918">
        <w:rPr>
          <w:spacing w:val="-3"/>
        </w:rPr>
        <w:t xml:space="preserve"> </w:t>
      </w:r>
      <w:r>
        <w:rPr>
          <w:spacing w:val="-3"/>
        </w:rPr>
        <w:t xml:space="preserve">also </w:t>
      </w:r>
      <w:r w:rsidR="00423030">
        <w:t>increase telehealth utilization when connectivity is no longer an issue</w:t>
      </w:r>
      <w:r w:rsidR="00021918">
        <w:t>.</w:t>
      </w:r>
      <w:r w:rsidR="00597D65">
        <w:t xml:space="preserve"> </w:t>
      </w:r>
      <w:r>
        <w:t xml:space="preserve"> </w:t>
      </w:r>
      <w:r w:rsidR="006E6406">
        <w:t>The</w:t>
      </w:r>
      <w:r w:rsidR="006E6406">
        <w:rPr>
          <w:spacing w:val="-2"/>
        </w:rPr>
        <w:t xml:space="preserve"> </w:t>
      </w:r>
      <w:r w:rsidR="006E6406">
        <w:t>successful</w:t>
      </w:r>
      <w:r w:rsidR="006E6406">
        <w:rPr>
          <w:spacing w:val="-2"/>
        </w:rPr>
        <w:t xml:space="preserve"> </w:t>
      </w:r>
      <w:r w:rsidR="006E6406">
        <w:t>implementation</w:t>
      </w:r>
      <w:r w:rsidR="006E6406">
        <w:rPr>
          <w:spacing w:val="-2"/>
        </w:rPr>
        <w:t xml:space="preserve"> </w:t>
      </w:r>
      <w:r w:rsidR="006E6406">
        <w:t>of</w:t>
      </w:r>
      <w:r w:rsidR="006E6406">
        <w:rPr>
          <w:spacing w:val="-3"/>
        </w:rPr>
        <w:t xml:space="preserve"> </w:t>
      </w:r>
      <w:r w:rsidR="006E6406">
        <w:t>telehealth</w:t>
      </w:r>
      <w:r w:rsidR="006E6406">
        <w:rPr>
          <w:spacing w:val="-3"/>
        </w:rPr>
        <w:t xml:space="preserve"> </w:t>
      </w:r>
      <w:r w:rsidR="001434A0">
        <w:rPr>
          <w:spacing w:val="-3"/>
        </w:rPr>
        <w:t xml:space="preserve">on a </w:t>
      </w:r>
      <w:r w:rsidR="006E6406">
        <w:t>nation</w:t>
      </w:r>
      <w:r w:rsidR="001434A0">
        <w:t>-wide basis</w:t>
      </w:r>
      <w:r w:rsidR="006E6406">
        <w:rPr>
          <w:spacing w:val="-52"/>
        </w:rPr>
        <w:t xml:space="preserve"> </w:t>
      </w:r>
      <w:r w:rsidR="006E6406">
        <w:t xml:space="preserve"> is not only dependent upon </w:t>
      </w:r>
      <w:r w:rsidR="0041716C">
        <w:t>practical circumstances</w:t>
      </w:r>
      <w:r w:rsidR="00EA4529">
        <w:t>,</w:t>
      </w:r>
      <w:r w:rsidR="0041716C">
        <w:t xml:space="preserve"> such as </w:t>
      </w:r>
      <w:r w:rsidR="006E6406">
        <w:t xml:space="preserve">broadband availability </w:t>
      </w:r>
      <w:r w:rsidR="0041716C">
        <w:t xml:space="preserve">(access and adoption), provider and user acceptance of telehealth services and solutions, and affordability, </w:t>
      </w:r>
      <w:r w:rsidR="006E6406">
        <w:t xml:space="preserve">but also upon loosening </w:t>
      </w:r>
      <w:r w:rsidR="0041716C">
        <w:t>regulations and policies</w:t>
      </w:r>
      <w:r w:rsidR="006E6406">
        <w:t xml:space="preserve"> that restricts access and services.  Additionally, u</w:t>
      </w:r>
      <w:r>
        <w:t xml:space="preserve">nderstanding </w:t>
      </w:r>
      <w:r w:rsidR="006E6406">
        <w:t xml:space="preserve">telehealth deployment and utilization </w:t>
      </w:r>
      <w:r>
        <w:t xml:space="preserve">challenges from the perspective of </w:t>
      </w:r>
      <w:r w:rsidR="005B533F">
        <w:t xml:space="preserve">Tribal communities and </w:t>
      </w:r>
      <w:r w:rsidR="001D0C15">
        <w:t xml:space="preserve">those affected by a lack of digital literacy </w:t>
      </w:r>
      <w:r>
        <w:t xml:space="preserve">offers a unique </w:t>
      </w:r>
      <w:r w:rsidR="006E6406">
        <w:t xml:space="preserve">and inclusive </w:t>
      </w:r>
      <w:r>
        <w:t xml:space="preserve">approach </w:t>
      </w:r>
      <w:r w:rsidR="005510FF">
        <w:t>to</w:t>
      </w:r>
      <w:r w:rsidR="006E6406">
        <w:t xml:space="preserve"> address</w:t>
      </w:r>
      <w:r w:rsidR="005510FF">
        <w:t>ing</w:t>
      </w:r>
      <w:r w:rsidR="006E6406">
        <w:t xml:space="preserve"> the issues of healthcare equity</w:t>
      </w:r>
      <w:r>
        <w:t>.</w:t>
      </w:r>
      <w:r>
        <w:rPr>
          <w:spacing w:val="1"/>
        </w:rPr>
        <w:t xml:space="preserve">  </w:t>
      </w:r>
      <w:r w:rsidR="00597D65">
        <w:t>As</w:t>
      </w:r>
      <w:r w:rsidR="00597D65">
        <w:rPr>
          <w:spacing w:val="-3"/>
        </w:rPr>
        <w:t xml:space="preserve"> </w:t>
      </w:r>
      <w:r w:rsidR="00597D65">
        <w:t>patients</w:t>
      </w:r>
      <w:r w:rsidR="00597D65">
        <w:rPr>
          <w:spacing w:val="-3"/>
        </w:rPr>
        <w:t xml:space="preserve"> </w:t>
      </w:r>
      <w:r w:rsidR="0041716C">
        <w:rPr>
          <w:spacing w:val="-3"/>
        </w:rPr>
        <w:t xml:space="preserve">increasingly accept </w:t>
      </w:r>
      <w:r w:rsidR="00597D65">
        <w:t>the</w:t>
      </w:r>
      <w:r w:rsidR="00597D65">
        <w:rPr>
          <w:spacing w:val="-3"/>
        </w:rPr>
        <w:t xml:space="preserve"> </w:t>
      </w:r>
      <w:r w:rsidR="00597D65">
        <w:t>use</w:t>
      </w:r>
      <w:r w:rsidR="00597D65">
        <w:rPr>
          <w:spacing w:val="-2"/>
        </w:rPr>
        <w:t xml:space="preserve"> </w:t>
      </w:r>
      <w:r w:rsidR="00597D65">
        <w:t>of</w:t>
      </w:r>
      <w:r w:rsidR="00597D65">
        <w:rPr>
          <w:spacing w:val="-3"/>
        </w:rPr>
        <w:t xml:space="preserve"> </w:t>
      </w:r>
      <w:r w:rsidR="00597D65">
        <w:t>telehealth</w:t>
      </w:r>
      <w:r w:rsidR="00597D65">
        <w:rPr>
          <w:spacing w:val="-1"/>
        </w:rPr>
        <w:t xml:space="preserve"> </w:t>
      </w:r>
      <w:r w:rsidR="00597D65">
        <w:t>applications</w:t>
      </w:r>
      <w:r w:rsidR="00597D65">
        <w:rPr>
          <w:spacing w:val="-3"/>
        </w:rPr>
        <w:t xml:space="preserve"> </w:t>
      </w:r>
      <w:r w:rsidR="00597D65">
        <w:t>and</w:t>
      </w:r>
      <w:r w:rsidR="00597D65">
        <w:rPr>
          <w:spacing w:val="-2"/>
        </w:rPr>
        <w:t xml:space="preserve"> </w:t>
      </w:r>
      <w:r w:rsidR="00597D65">
        <w:t>remote</w:t>
      </w:r>
      <w:r w:rsidR="00597D65">
        <w:rPr>
          <w:spacing w:val="-3"/>
        </w:rPr>
        <w:t xml:space="preserve"> </w:t>
      </w:r>
      <w:r w:rsidR="00597D65">
        <w:t>communications</w:t>
      </w:r>
      <w:r w:rsidR="0041716C">
        <w:t>,</w:t>
      </w:r>
      <w:r w:rsidR="00597D65">
        <w:rPr>
          <w:spacing w:val="-2"/>
        </w:rPr>
        <w:t xml:space="preserve"> </w:t>
      </w:r>
      <w:r w:rsidR="00597D65">
        <w:t>health</w:t>
      </w:r>
      <w:r w:rsidR="00BA1F35">
        <w:t>-</w:t>
      </w:r>
      <w:r w:rsidR="00597D65">
        <w:t xml:space="preserve">care providers </w:t>
      </w:r>
      <w:r w:rsidR="00423030">
        <w:t>should continue with</w:t>
      </w:r>
      <w:r w:rsidR="00597D65">
        <w:t xml:space="preserve"> meticulous planning,</w:t>
      </w:r>
      <w:r w:rsidR="00597D65">
        <w:rPr>
          <w:spacing w:val="1"/>
        </w:rPr>
        <w:t xml:space="preserve"> </w:t>
      </w:r>
      <w:r w:rsidR="001D0C15">
        <w:rPr>
          <w:spacing w:val="1"/>
        </w:rPr>
        <w:t xml:space="preserve">including emergency planning for future pandemics, </w:t>
      </w:r>
      <w:r w:rsidR="00597D65">
        <w:t xml:space="preserve">strategic phasing, and ongoing assessments in </w:t>
      </w:r>
      <w:r w:rsidR="0041716C">
        <w:t xml:space="preserve">the </w:t>
      </w:r>
      <w:r w:rsidR="00597D65">
        <w:t>deployment of the systems that comprise</w:t>
      </w:r>
      <w:r w:rsidR="00597D65">
        <w:rPr>
          <w:spacing w:val="1"/>
        </w:rPr>
        <w:t xml:space="preserve"> </w:t>
      </w:r>
      <w:r w:rsidR="00597D65">
        <w:t>the telehealth ecosystem.</w:t>
      </w:r>
    </w:p>
    <w:p w14:paraId="4D4B4ACC" w14:textId="77777777" w:rsidR="00F91E50" w:rsidRDefault="00F91E50" w:rsidP="00580258">
      <w:pPr>
        <w:pStyle w:val="Heading2"/>
        <w:numPr>
          <w:ilvl w:val="0"/>
          <w:numId w:val="41"/>
        </w:numPr>
        <w:ind w:left="1080"/>
      </w:pPr>
      <w:bookmarkStart w:id="80" w:name="_Toc114492078"/>
      <w:bookmarkStart w:id="81" w:name="_Toc115353775"/>
      <w:bookmarkStart w:id="82" w:name="_Hlk115085280"/>
      <w:r>
        <w:t>Regulatory</w:t>
      </w:r>
      <w:r w:rsidRPr="00F91E50">
        <w:rPr>
          <w:spacing w:val="-4"/>
        </w:rPr>
        <w:t xml:space="preserve"> </w:t>
      </w:r>
      <w:r>
        <w:t>Recommendations for the FCC</w:t>
      </w:r>
      <w:bookmarkEnd w:id="80"/>
      <w:bookmarkEnd w:id="81"/>
    </w:p>
    <w:p w14:paraId="5C815776" w14:textId="47F3248D" w:rsidR="00F91E50" w:rsidRDefault="00F91E50" w:rsidP="00F91E50">
      <w:pPr>
        <w:pStyle w:val="ListParagraph"/>
        <w:numPr>
          <w:ilvl w:val="0"/>
          <w:numId w:val="25"/>
        </w:numPr>
        <w:tabs>
          <w:tab w:val="left" w:pos="1180"/>
          <w:tab w:val="left" w:pos="1181"/>
        </w:tabs>
        <w:spacing w:before="120" w:after="120"/>
      </w:pPr>
      <w:bookmarkStart w:id="83" w:name="_Hlk114651873"/>
      <w:r>
        <w:t>The</w:t>
      </w:r>
      <w:r w:rsidRPr="00E02D84">
        <w:rPr>
          <w:spacing w:val="-2"/>
        </w:rPr>
        <w:t xml:space="preserve"> </w:t>
      </w:r>
      <w:r>
        <w:t>FCC</w:t>
      </w:r>
      <w:r w:rsidRPr="00CF1915">
        <w:rPr>
          <w:spacing w:val="-2"/>
        </w:rPr>
        <w:t xml:space="preserve"> </w:t>
      </w:r>
      <w:r w:rsidR="00047155">
        <w:rPr>
          <w:spacing w:val="-2"/>
        </w:rPr>
        <w:t xml:space="preserve">should consider expanding the </w:t>
      </w:r>
      <w:r w:rsidR="00047155" w:rsidRPr="00CF1915">
        <w:rPr>
          <w:spacing w:val="-1"/>
        </w:rPr>
        <w:t xml:space="preserve">list of </w:t>
      </w:r>
      <w:r w:rsidR="00047155">
        <w:t>eligible</w:t>
      </w:r>
      <w:r w:rsidR="00047155" w:rsidRPr="00CF1915">
        <w:rPr>
          <w:spacing w:val="-3"/>
        </w:rPr>
        <w:t xml:space="preserve"> </w:t>
      </w:r>
      <w:r w:rsidR="00047155">
        <w:t>equipment</w:t>
      </w:r>
      <w:r w:rsidR="00047155" w:rsidRPr="00CF1915">
        <w:rPr>
          <w:spacing w:val="-1"/>
        </w:rPr>
        <w:t xml:space="preserve"> and </w:t>
      </w:r>
      <w:r w:rsidR="00047155" w:rsidRPr="00CF1915">
        <w:rPr>
          <w:spacing w:val="-52"/>
        </w:rPr>
        <w:t xml:space="preserve"> </w:t>
      </w:r>
      <w:r w:rsidR="00047155">
        <w:t xml:space="preserve">services in the </w:t>
      </w:r>
      <w:r>
        <w:t>Rural</w:t>
      </w:r>
      <w:r w:rsidRPr="00CF1915">
        <w:rPr>
          <w:spacing w:val="-2"/>
        </w:rPr>
        <w:t xml:space="preserve"> </w:t>
      </w:r>
      <w:r>
        <w:t>Health</w:t>
      </w:r>
      <w:r w:rsidRPr="00CF1915">
        <w:rPr>
          <w:spacing w:val="-2"/>
        </w:rPr>
        <w:t xml:space="preserve"> </w:t>
      </w:r>
      <w:r>
        <w:t>Care</w:t>
      </w:r>
      <w:r w:rsidRPr="00CF1915">
        <w:rPr>
          <w:spacing w:val="-2"/>
        </w:rPr>
        <w:t xml:space="preserve"> </w:t>
      </w:r>
      <w:r w:rsidR="000F69C7">
        <w:rPr>
          <w:spacing w:val="-2"/>
        </w:rPr>
        <w:t xml:space="preserve">Healthcare Connect Fund </w:t>
      </w:r>
      <w:r>
        <w:t>Program</w:t>
      </w:r>
      <w:r w:rsidRPr="00CF1915">
        <w:rPr>
          <w:spacing w:val="-1"/>
        </w:rPr>
        <w:t xml:space="preserve"> </w:t>
      </w:r>
      <w:r>
        <w:t>to cover institutional mobile technologies that are not currently covered under the</w:t>
      </w:r>
      <w:r w:rsidRPr="00CF1915">
        <w:rPr>
          <w:spacing w:val="1"/>
        </w:rPr>
        <w:t xml:space="preserve"> </w:t>
      </w:r>
      <w:r>
        <w:t>program</w:t>
      </w:r>
      <w:r w:rsidR="00047155">
        <w:t>, including m</w:t>
      </w:r>
      <w:r>
        <w:t>obile</w:t>
      </w:r>
      <w:r w:rsidRPr="00CF1915">
        <w:rPr>
          <w:spacing w:val="-1"/>
        </w:rPr>
        <w:t xml:space="preserve"> </w:t>
      </w:r>
      <w:r w:rsidR="009D28A5">
        <w:t>devices</w:t>
      </w:r>
      <w:r w:rsidR="009D28A5" w:rsidRPr="00CF1915">
        <w:rPr>
          <w:spacing w:val="-2"/>
        </w:rPr>
        <w:t xml:space="preserve"> </w:t>
      </w:r>
      <w:r>
        <w:t>and</w:t>
      </w:r>
      <w:r w:rsidRPr="00CF1915">
        <w:rPr>
          <w:spacing w:val="-1"/>
        </w:rPr>
        <w:t xml:space="preserve"> </w:t>
      </w:r>
      <w:r>
        <w:t>service.</w:t>
      </w:r>
      <w:r>
        <w:rPr>
          <w:rStyle w:val="FootnoteReference"/>
        </w:rPr>
        <w:footnoteReference w:id="93"/>
      </w:r>
    </w:p>
    <w:bookmarkEnd w:id="82"/>
    <w:p w14:paraId="69054486" w14:textId="77777777" w:rsidR="00F91E50" w:rsidRDefault="00F91E50" w:rsidP="00F91E50">
      <w:pPr>
        <w:pStyle w:val="ListParagraph"/>
        <w:numPr>
          <w:ilvl w:val="0"/>
          <w:numId w:val="25"/>
        </w:numPr>
        <w:tabs>
          <w:tab w:val="left" w:pos="1180"/>
          <w:tab w:val="left" w:pos="1181"/>
        </w:tabs>
        <w:spacing w:before="120"/>
      </w:pPr>
      <w:r>
        <w:t>The FCC should require that provider data on 3G subscribers be made available to localities to help take inventory of who in their communities might need to upgrade.</w:t>
      </w:r>
    </w:p>
    <w:p w14:paraId="0A22AFC9" w14:textId="656B6022" w:rsidR="00F91E50" w:rsidRDefault="009271DB" w:rsidP="00F91E50">
      <w:pPr>
        <w:pStyle w:val="ListParagraph"/>
        <w:numPr>
          <w:ilvl w:val="0"/>
          <w:numId w:val="25"/>
        </w:numPr>
        <w:tabs>
          <w:tab w:val="left" w:pos="1180"/>
          <w:tab w:val="left" w:pos="1181"/>
        </w:tabs>
        <w:spacing w:before="120"/>
      </w:pPr>
      <w:bookmarkStart w:id="85" w:name="_Hlk115085853"/>
      <w:r w:rsidRPr="009271DB">
        <w:t xml:space="preserve">The FCC should </w:t>
      </w:r>
      <w:r w:rsidR="00047155">
        <w:t xml:space="preserve">consider </w:t>
      </w:r>
      <w:r w:rsidRPr="009271DB">
        <w:t>leverag</w:t>
      </w:r>
      <w:r w:rsidR="00047155">
        <w:t>ing</w:t>
      </w:r>
      <w:r w:rsidRPr="009271DB">
        <w:t xml:space="preserve"> the </w:t>
      </w:r>
      <w:r w:rsidR="009D28A5">
        <w:t>Commission’s affordability programs, including the</w:t>
      </w:r>
      <w:r w:rsidR="009D28A5" w:rsidRPr="009271DB">
        <w:t xml:space="preserve"> </w:t>
      </w:r>
      <w:r w:rsidRPr="009271DB">
        <w:t xml:space="preserve">Affordable Connectivity Program </w:t>
      </w:r>
      <w:r w:rsidR="009D28A5">
        <w:t xml:space="preserve">and Lifeline Program, </w:t>
      </w:r>
      <w:r w:rsidRPr="009271DB">
        <w:t>to support consumer upgrades to 4G-enabled devices and also to pr</w:t>
      </w:r>
      <w:r>
        <w:t>o</w:t>
      </w:r>
      <w:r w:rsidRPr="009271DB">
        <w:t>vide outreach resources to local governments and organizations as well as resources to digital navigators to train consumers on how to use new equipmen</w:t>
      </w:r>
      <w:r>
        <w:t>t.</w:t>
      </w:r>
    </w:p>
    <w:bookmarkEnd w:id="85"/>
    <w:p w14:paraId="37A1DCA6" w14:textId="04CC4C90" w:rsidR="00253EB7" w:rsidRPr="004F6E2C" w:rsidRDefault="00253EB7" w:rsidP="00253EB7">
      <w:pPr>
        <w:pStyle w:val="ListParagraph"/>
        <w:numPr>
          <w:ilvl w:val="0"/>
          <w:numId w:val="25"/>
        </w:numPr>
        <w:tabs>
          <w:tab w:val="left" w:pos="1180"/>
          <w:tab w:val="left" w:pos="1181"/>
        </w:tabs>
        <w:spacing w:before="120" w:after="120"/>
      </w:pPr>
      <w:r w:rsidRPr="004F6E2C">
        <w:t xml:space="preserve">The </w:t>
      </w:r>
      <w:r w:rsidR="00746280" w:rsidRPr="004F6E2C">
        <w:rPr>
          <w:shd w:val="clear" w:color="auto" w:fill="FFFFFF"/>
        </w:rPr>
        <w:t>Commission should periodically update its broadband data maps to include or integrate available, ​reliable data on the presence and nature of telehealth services offered by healthcare service providers throughout the nation, should it become available.  The IAC understands the Commission does not presently collect such data and the IAC is not in a position, at this time, to recommend any particular external data source for that information.  However, IAC recommends that, if and when such data does become available, the Commission should incorporate it into the mapping tool.</w:t>
      </w:r>
    </w:p>
    <w:p w14:paraId="75EC8EF2" w14:textId="24EDCA97" w:rsidR="00F91E50" w:rsidRDefault="00F91E50" w:rsidP="00F91E50">
      <w:pPr>
        <w:pStyle w:val="ListParagraph"/>
        <w:numPr>
          <w:ilvl w:val="0"/>
          <w:numId w:val="25"/>
        </w:numPr>
        <w:tabs>
          <w:tab w:val="left" w:pos="1180"/>
          <w:tab w:val="left" w:pos="1181"/>
        </w:tabs>
        <w:spacing w:before="120" w:after="120"/>
      </w:pPr>
      <w:r>
        <w:t>For FCC broadband-enabled healthcare funding programs, the term “telehealth” should be construed broadly, and should incorporate the need for</w:t>
      </w:r>
      <w:r w:rsidRPr="002347F6">
        <w:rPr>
          <w:spacing w:val="1"/>
        </w:rPr>
        <w:t xml:space="preserve"> </w:t>
      </w:r>
      <w:r>
        <w:t>software,</w:t>
      </w:r>
      <w:r w:rsidRPr="002347F6">
        <w:rPr>
          <w:spacing w:val="-3"/>
        </w:rPr>
        <w:t xml:space="preserve"> </w:t>
      </w:r>
      <w:r>
        <w:t>equipment,</w:t>
      </w:r>
      <w:r w:rsidRPr="002347F6">
        <w:rPr>
          <w:spacing w:val="-2"/>
        </w:rPr>
        <w:t xml:space="preserve"> </w:t>
      </w:r>
      <w:r>
        <w:t>data</w:t>
      </w:r>
      <w:r w:rsidRPr="002347F6">
        <w:rPr>
          <w:spacing w:val="-2"/>
        </w:rPr>
        <w:t xml:space="preserve"> </w:t>
      </w:r>
      <w:r>
        <w:t>storage</w:t>
      </w:r>
      <w:r w:rsidRPr="002347F6">
        <w:rPr>
          <w:spacing w:val="-3"/>
        </w:rPr>
        <w:t xml:space="preserve"> </w:t>
      </w:r>
      <w:r>
        <w:t>and</w:t>
      </w:r>
      <w:r w:rsidRPr="002347F6">
        <w:rPr>
          <w:spacing w:val="-1"/>
        </w:rPr>
        <w:t xml:space="preserve"> </w:t>
      </w:r>
      <w:r>
        <w:t>patient</w:t>
      </w:r>
      <w:r w:rsidRPr="002347F6">
        <w:rPr>
          <w:spacing w:val="-1"/>
        </w:rPr>
        <w:t xml:space="preserve"> </w:t>
      </w:r>
      <w:r>
        <w:t>record</w:t>
      </w:r>
      <w:r w:rsidRPr="002347F6">
        <w:rPr>
          <w:spacing w:val="-1"/>
        </w:rPr>
        <w:t xml:space="preserve"> </w:t>
      </w:r>
      <w:r>
        <w:t>access</w:t>
      </w:r>
      <w:r w:rsidRPr="002347F6">
        <w:rPr>
          <w:spacing w:val="-3"/>
        </w:rPr>
        <w:t xml:space="preserve"> </w:t>
      </w:r>
      <w:r>
        <w:t>along</w:t>
      </w:r>
      <w:r w:rsidRPr="002347F6">
        <w:rPr>
          <w:spacing w:val="-1"/>
        </w:rPr>
        <w:t xml:space="preserve"> </w:t>
      </w:r>
      <w:r>
        <w:t>with</w:t>
      </w:r>
      <w:r w:rsidRPr="002347F6">
        <w:rPr>
          <w:spacing w:val="-1"/>
        </w:rPr>
        <w:t xml:space="preserve"> </w:t>
      </w:r>
      <w:r>
        <w:t>the</w:t>
      </w:r>
      <w:r w:rsidRPr="002347F6">
        <w:rPr>
          <w:spacing w:val="-3"/>
        </w:rPr>
        <w:t xml:space="preserve"> </w:t>
      </w:r>
      <w:r>
        <w:t>various</w:t>
      </w:r>
      <w:r w:rsidRPr="002347F6">
        <w:rPr>
          <w:spacing w:val="-2"/>
        </w:rPr>
        <w:t xml:space="preserve"> spectrum</w:t>
      </w:r>
      <w:r w:rsidR="005510FF">
        <w:rPr>
          <w:spacing w:val="-2"/>
        </w:rPr>
        <w:t>,</w:t>
      </w:r>
      <w:r w:rsidRPr="002347F6">
        <w:rPr>
          <w:spacing w:val="-2"/>
        </w:rPr>
        <w:t xml:space="preserve"> </w:t>
      </w:r>
      <w:r>
        <w:t>telecommunications</w:t>
      </w:r>
      <w:r w:rsidRPr="002347F6">
        <w:rPr>
          <w:spacing w:val="-1"/>
        </w:rPr>
        <w:t xml:space="preserve"> </w:t>
      </w:r>
      <w:r w:rsidR="005510FF" w:rsidRPr="00582E94">
        <w:rPr>
          <w:spacing w:val="-1"/>
        </w:rPr>
        <w:t>and broadband</w:t>
      </w:r>
      <w:r w:rsidR="005510FF">
        <w:rPr>
          <w:spacing w:val="-1"/>
        </w:rPr>
        <w:t xml:space="preserve"> </w:t>
      </w:r>
      <w:r w:rsidR="005510FF" w:rsidRPr="00582E94">
        <w:rPr>
          <w:spacing w:val="-1"/>
        </w:rPr>
        <w:t>deployment</w:t>
      </w:r>
      <w:r w:rsidR="005510FF">
        <w:rPr>
          <w:spacing w:val="-1"/>
        </w:rPr>
        <w:t xml:space="preserve"> </w:t>
      </w:r>
      <w:r>
        <w:t>solutions</w:t>
      </w:r>
      <w:r w:rsidR="005510FF">
        <w:t xml:space="preserve"> targeted by such programs</w:t>
      </w:r>
      <w:r>
        <w:t>.</w:t>
      </w:r>
    </w:p>
    <w:p w14:paraId="76592868" w14:textId="6E63AFD1" w:rsidR="00F91E50" w:rsidRDefault="00F91E50" w:rsidP="00030585">
      <w:pPr>
        <w:pStyle w:val="ListParagraph"/>
        <w:numPr>
          <w:ilvl w:val="0"/>
          <w:numId w:val="25"/>
        </w:numPr>
        <w:tabs>
          <w:tab w:val="left" w:pos="1180"/>
          <w:tab w:val="left" w:pos="1181"/>
        </w:tabs>
        <w:spacing w:before="120" w:after="120"/>
      </w:pPr>
      <w:r>
        <w:t>For FCC broadband-enabled healthcare funding programs, telehealth</w:t>
      </w:r>
      <w:r w:rsidRPr="002347F6">
        <w:rPr>
          <w:spacing w:val="-2"/>
        </w:rPr>
        <w:t xml:space="preserve"> </w:t>
      </w:r>
      <w:r>
        <w:t>policy</w:t>
      </w:r>
      <w:r w:rsidRPr="002347F6">
        <w:rPr>
          <w:spacing w:val="-1"/>
        </w:rPr>
        <w:t xml:space="preserve"> </w:t>
      </w:r>
      <w:r>
        <w:t>should</w:t>
      </w:r>
      <w:r w:rsidRPr="002347F6">
        <w:rPr>
          <w:spacing w:val="-3"/>
        </w:rPr>
        <w:t xml:space="preserve"> </w:t>
      </w:r>
      <w:r>
        <w:t>address</w:t>
      </w:r>
      <w:r w:rsidRPr="002347F6">
        <w:rPr>
          <w:spacing w:val="-3"/>
        </w:rPr>
        <w:t xml:space="preserve"> </w:t>
      </w:r>
      <w:r w:rsidRPr="002347F6">
        <w:rPr>
          <w:spacing w:val="-2"/>
        </w:rPr>
        <w:t xml:space="preserve"> </w:t>
      </w:r>
      <w:r w:rsidR="0033042F">
        <w:rPr>
          <w:spacing w:val="-2"/>
        </w:rPr>
        <w:t xml:space="preserve">broadband </w:t>
      </w:r>
      <w:r>
        <w:t>deployment</w:t>
      </w:r>
      <w:r w:rsidRPr="002347F6">
        <w:rPr>
          <w:spacing w:val="-2"/>
        </w:rPr>
        <w:t xml:space="preserve"> </w:t>
      </w:r>
      <w:r w:rsidR="0033042F">
        <w:rPr>
          <w:spacing w:val="-2"/>
        </w:rPr>
        <w:t xml:space="preserve">and the provision of necessary telehealth equipment </w:t>
      </w:r>
      <w:r w:rsidR="0033042F">
        <w:t>to the</w:t>
      </w:r>
      <w:r w:rsidRPr="002347F6">
        <w:rPr>
          <w:spacing w:val="-3"/>
        </w:rPr>
        <w:t xml:space="preserve"> homes of </w:t>
      </w:r>
      <w:r>
        <w:t xml:space="preserve">older </w:t>
      </w:r>
      <w:r>
        <w:lastRenderedPageBreak/>
        <w:t>adults and provider offices in rural and frontier communities that are far from a</w:t>
      </w:r>
      <w:r w:rsidRPr="002347F6">
        <w:rPr>
          <w:spacing w:val="1"/>
        </w:rPr>
        <w:t xml:space="preserve"> </w:t>
      </w:r>
      <w:r>
        <w:t>hospital.</w:t>
      </w:r>
    </w:p>
    <w:p w14:paraId="55700C39" w14:textId="0FC19BB0" w:rsidR="00F91E50" w:rsidRDefault="00F91E50" w:rsidP="00030585">
      <w:pPr>
        <w:pStyle w:val="Heading2"/>
      </w:pPr>
      <w:bookmarkStart w:id="86" w:name="_Toc114492079"/>
      <w:bookmarkStart w:id="87" w:name="_Toc115353776"/>
      <w:bookmarkEnd w:id="83"/>
      <w:r>
        <w:t>Regulatory</w:t>
      </w:r>
      <w:r>
        <w:rPr>
          <w:spacing w:val="-4"/>
        </w:rPr>
        <w:t xml:space="preserve"> </w:t>
      </w:r>
      <w:r>
        <w:t xml:space="preserve">Recommendations for the </w:t>
      </w:r>
      <w:r w:rsidR="007946CE">
        <w:t xml:space="preserve">U.S. </w:t>
      </w:r>
      <w:r>
        <w:t>Department of Health and Human Services (HHS)</w:t>
      </w:r>
      <w:r w:rsidR="005B533F">
        <w:rPr>
          <w:shd w:val="clear" w:color="auto" w:fill="FFFFFF"/>
        </w:rPr>
        <w:t xml:space="preserve">, </w:t>
      </w:r>
      <w:r w:rsidRPr="00886F33">
        <w:rPr>
          <w:shd w:val="clear" w:color="auto" w:fill="FFFFFF"/>
        </w:rPr>
        <w:t>Centers for Medicare &amp; Medicaid Services (CMS)</w:t>
      </w:r>
      <w:bookmarkEnd w:id="86"/>
      <w:bookmarkEnd w:id="87"/>
    </w:p>
    <w:p w14:paraId="4691DD05" w14:textId="77777777" w:rsidR="00F91E50" w:rsidRDefault="00F91E50" w:rsidP="00F91E50">
      <w:pPr>
        <w:pStyle w:val="ListParagraph"/>
        <w:numPr>
          <w:ilvl w:val="0"/>
          <w:numId w:val="27"/>
        </w:numPr>
        <w:tabs>
          <w:tab w:val="left" w:pos="1180"/>
          <w:tab w:val="left" w:pos="1181"/>
        </w:tabs>
        <w:spacing w:before="120" w:after="120"/>
      </w:pPr>
      <w:bookmarkStart w:id="88" w:name="_Hlk114651844"/>
      <w:r>
        <w:t>HHS should conduct additional research to determine whether the recent expansion of eligibility for telehealth services through Medicare should continue and which services should revert back to pre-pandemic status.</w:t>
      </w:r>
    </w:p>
    <w:p w14:paraId="64D8DB63" w14:textId="2271A071" w:rsidR="00F91E50" w:rsidRDefault="00F91E50" w:rsidP="00F91E50">
      <w:pPr>
        <w:pStyle w:val="ListParagraph"/>
        <w:numPr>
          <w:ilvl w:val="0"/>
          <w:numId w:val="27"/>
        </w:numPr>
        <w:tabs>
          <w:tab w:val="left" w:pos="1180"/>
          <w:tab w:val="left" w:pos="1181"/>
        </w:tabs>
        <w:spacing w:before="120"/>
      </w:pPr>
      <w:r w:rsidRPr="00EB193D">
        <w:t xml:space="preserve">Reimbursement rate structures </w:t>
      </w:r>
      <w:r w:rsidR="005B533F">
        <w:t xml:space="preserve">should be sufficient </w:t>
      </w:r>
      <w:r w:rsidRPr="00EB193D">
        <w:t xml:space="preserve">for provider visits </w:t>
      </w:r>
      <w:r w:rsidR="005B533F">
        <w:t>to</w:t>
      </w:r>
      <w:r w:rsidRPr="00EB193D">
        <w:t xml:space="preserve"> encourage providers to deliver </w:t>
      </w:r>
      <w:r>
        <w:t>telehealth</w:t>
      </w:r>
      <w:r w:rsidRPr="00EB193D">
        <w:t xml:space="preserve"> services and allow patients to determine how they wish to receive care.</w:t>
      </w:r>
    </w:p>
    <w:p w14:paraId="3E1E6B63" w14:textId="7436A102" w:rsidR="00F91E50" w:rsidRDefault="00F91E50" w:rsidP="00030585">
      <w:pPr>
        <w:pStyle w:val="ListParagraph"/>
        <w:numPr>
          <w:ilvl w:val="0"/>
          <w:numId w:val="27"/>
        </w:numPr>
        <w:tabs>
          <w:tab w:val="left" w:pos="1180"/>
          <w:tab w:val="left" w:pos="1181"/>
        </w:tabs>
        <w:spacing w:before="120"/>
      </w:pPr>
      <w:r>
        <w:t xml:space="preserve">HHS and </w:t>
      </w:r>
      <w:r w:rsidRPr="00E8666E">
        <w:t xml:space="preserve">CMS </w:t>
      </w:r>
      <w:r>
        <w:t>should</w:t>
      </w:r>
      <w:r w:rsidRPr="00E8666E">
        <w:t xml:space="preserve"> make permanent the emergency temporary COVID-19 reimbursement for </w:t>
      </w:r>
      <w:r>
        <w:t>telehealth</w:t>
      </w:r>
      <w:r w:rsidRPr="00E8666E">
        <w:t xml:space="preserve"> services to align with in-office care services.  </w:t>
      </w:r>
      <w:r>
        <w:t>This s</w:t>
      </w:r>
      <w:r w:rsidRPr="00E8666E">
        <w:t xml:space="preserve">hould be a national model. </w:t>
      </w:r>
      <w:r w:rsidR="00357546">
        <w:t xml:space="preserve"> </w:t>
      </w:r>
      <w:r w:rsidRPr="00E8666E">
        <w:t>All states should follow.</w:t>
      </w:r>
    </w:p>
    <w:p w14:paraId="0379A48D" w14:textId="6ED9E391" w:rsidR="00866DEA" w:rsidRPr="00866DEA" w:rsidRDefault="00866DEA" w:rsidP="00866DEA">
      <w:pPr>
        <w:pStyle w:val="xmsolistparagraph"/>
        <w:numPr>
          <w:ilvl w:val="0"/>
          <w:numId w:val="27"/>
        </w:numPr>
        <w:spacing w:before="120" w:after="120"/>
        <w:ind w:right="720"/>
        <w:rPr>
          <w:rStyle w:val="xxcontentpasted0"/>
        </w:rPr>
      </w:pPr>
      <w:r w:rsidRPr="00866DEA">
        <w:t>HHS and CMS should help to increase</w:t>
      </w:r>
      <w:r w:rsidRPr="00866DEA">
        <w:rPr>
          <w:rStyle w:val="xxcontentpasted0"/>
          <w:color w:val="000000"/>
        </w:rPr>
        <w:t xml:space="preserve"> telehealth accessibility by providing reimbursement for </w:t>
      </w:r>
      <w:r w:rsidRPr="00866DEA">
        <w:rPr>
          <w:rStyle w:val="xxcontentpasted0"/>
        </w:rPr>
        <w:t xml:space="preserve">telehealth </w:t>
      </w:r>
      <w:r w:rsidRPr="00866DEA">
        <w:rPr>
          <w:rStyle w:val="xxcontentpasted0"/>
          <w:color w:val="000000"/>
        </w:rPr>
        <w:t>patient consultations with multiple providers at the same time.  This multidisciplinary telehealth approach will help to reduce barriers, such as transportation to multiple provider locations, scheduling issues, and miscommunication among providers, and it will also lead to more patient-centered and successful telehealth visits.</w:t>
      </w:r>
    </w:p>
    <w:p w14:paraId="300A8537" w14:textId="674F616A" w:rsidR="00F91E50" w:rsidRDefault="00F91E50" w:rsidP="00866DEA">
      <w:pPr>
        <w:pStyle w:val="Heading2"/>
      </w:pPr>
      <w:bookmarkStart w:id="89" w:name="_Toc114492080"/>
      <w:bookmarkStart w:id="90" w:name="_Toc115353777"/>
      <w:bookmarkEnd w:id="88"/>
      <w:r>
        <w:t>Regulatory</w:t>
      </w:r>
      <w:r>
        <w:rPr>
          <w:spacing w:val="-4"/>
        </w:rPr>
        <w:t xml:space="preserve"> </w:t>
      </w:r>
      <w:r>
        <w:t>Recommendations for the States</w:t>
      </w:r>
      <w:bookmarkEnd w:id="89"/>
      <w:bookmarkEnd w:id="90"/>
    </w:p>
    <w:p w14:paraId="1EA55710" w14:textId="062B4219" w:rsidR="00F91E50" w:rsidRDefault="00F91E50" w:rsidP="00866DEA">
      <w:pPr>
        <w:pStyle w:val="ListParagraph"/>
        <w:numPr>
          <w:ilvl w:val="0"/>
          <w:numId w:val="29"/>
        </w:numPr>
        <w:tabs>
          <w:tab w:val="left" w:pos="1180"/>
          <w:tab w:val="left" w:pos="1181"/>
        </w:tabs>
        <w:spacing w:before="120" w:after="120"/>
      </w:pPr>
      <w:bookmarkStart w:id="91" w:name="_Hlk114650142"/>
      <w:r>
        <w:t>S</w:t>
      </w:r>
      <w:r w:rsidRPr="00EE7748">
        <w:t>tate policy make</w:t>
      </w:r>
      <w:r>
        <w:t>r</w:t>
      </w:r>
      <w:r w:rsidRPr="00EE7748">
        <w:t xml:space="preserve">s </w:t>
      </w:r>
      <w:r>
        <w:t>should</w:t>
      </w:r>
      <w:r w:rsidRPr="00EE7748">
        <w:t xml:space="preserve"> leverage existing </w:t>
      </w:r>
      <w:r>
        <w:t xml:space="preserve">Federal </w:t>
      </w:r>
      <w:r w:rsidRPr="00EE7748">
        <w:t xml:space="preserve">programs to provide low-cost solutions to the public.  Specifically, grantees of broadband expansion grants </w:t>
      </w:r>
      <w:r>
        <w:t xml:space="preserve">should be required </w:t>
      </w:r>
      <w:r w:rsidRPr="00EE7748">
        <w:t>to participate in federal subsidy programs, including, but not limited to</w:t>
      </w:r>
      <w:r>
        <w:t>,</w:t>
      </w:r>
      <w:r w:rsidRPr="00EE7748">
        <w:t xml:space="preserve"> the Affordable Connectivity Program</w:t>
      </w:r>
      <w:r>
        <w:t xml:space="preserve"> (ACP)</w:t>
      </w:r>
      <w:r w:rsidRPr="00EE7748">
        <w:t xml:space="preserve">.  If the state has a grant program, grantees </w:t>
      </w:r>
      <w:r>
        <w:t xml:space="preserve">should be required </w:t>
      </w:r>
      <w:r w:rsidRPr="00EE7748">
        <w:t xml:space="preserve">to participate in the ACP or provide another comparable low-cost </w:t>
      </w:r>
      <w:r>
        <w:t xml:space="preserve">broadband service </w:t>
      </w:r>
      <w:r w:rsidRPr="00EE7748">
        <w:t>option</w:t>
      </w:r>
      <w:r>
        <w:t>.</w:t>
      </w:r>
      <w:r w:rsidRPr="00EE7748">
        <w:t xml:space="preserve"> </w:t>
      </w:r>
      <w:r>
        <w:t xml:space="preserve"> </w:t>
      </w:r>
      <w:r w:rsidRPr="00EE7748">
        <w:t xml:space="preserve">Further, providers </w:t>
      </w:r>
      <w:r>
        <w:t xml:space="preserve">should be required to </w:t>
      </w:r>
      <w:r w:rsidRPr="00EE7748">
        <w:t xml:space="preserve">have a low-cost option </w:t>
      </w:r>
      <w:r>
        <w:t>that</w:t>
      </w:r>
      <w:r w:rsidRPr="00EE7748">
        <w:t xml:space="preserve"> mirror</w:t>
      </w:r>
      <w:r>
        <w:t>s</w:t>
      </w:r>
      <w:r w:rsidRPr="00EE7748">
        <w:t xml:space="preserve"> the requirements of the </w:t>
      </w:r>
      <w:r>
        <w:t xml:space="preserve">National Telecommunications and Information Administration’s </w:t>
      </w:r>
      <w:r w:rsidRPr="003D54B0">
        <w:t xml:space="preserve">Broadband Equity, Access, and Deployment </w:t>
      </w:r>
      <w:r>
        <w:t>(</w:t>
      </w:r>
      <w:r w:rsidRPr="00EE7748">
        <w:t>BEAD</w:t>
      </w:r>
      <w:r>
        <w:t>)</w:t>
      </w:r>
      <w:r w:rsidRPr="00EE7748">
        <w:t xml:space="preserve"> program.</w:t>
      </w:r>
      <w:r w:rsidR="00357546">
        <w:rPr>
          <w:rStyle w:val="FootnoteReference"/>
        </w:rPr>
        <w:footnoteReference w:id="94"/>
      </w:r>
      <w:r w:rsidRPr="00EE7748">
        <w:t xml:space="preserve">  Specifically, </w:t>
      </w:r>
      <w:r>
        <w:t>the</w:t>
      </w:r>
      <w:r w:rsidRPr="00EE7748">
        <w:t xml:space="preserve"> low-cost option </w:t>
      </w:r>
      <w:r>
        <w:t>should be</w:t>
      </w:r>
      <w:r w:rsidRPr="00EE7748">
        <w:t xml:space="preserve"> free from data caps and ha</w:t>
      </w:r>
      <w:r>
        <w:t>ve</w:t>
      </w:r>
      <w:r w:rsidRPr="00EE7748">
        <w:t xml:space="preserve"> speeds that allow multiple users to be online at once </w:t>
      </w:r>
      <w:r>
        <w:t>for purposes of telehealth and other uses</w:t>
      </w:r>
      <w:r w:rsidRPr="00EE7748">
        <w:t>.</w:t>
      </w:r>
    </w:p>
    <w:p w14:paraId="4809D09C" w14:textId="0F505F04" w:rsidR="00F91E50" w:rsidRDefault="00F91E50" w:rsidP="00F91E50">
      <w:pPr>
        <w:pStyle w:val="ListParagraph"/>
        <w:numPr>
          <w:ilvl w:val="0"/>
          <w:numId w:val="29"/>
        </w:numPr>
        <w:tabs>
          <w:tab w:val="left" w:pos="1180"/>
          <w:tab w:val="left" w:pos="1181"/>
        </w:tabs>
        <w:spacing w:before="120"/>
      </w:pPr>
      <w:r w:rsidRPr="00E306CD">
        <w:t xml:space="preserve">State boards </w:t>
      </w:r>
      <w:r>
        <w:t>should change policies and other licensing requirements for medical professionals to recognize</w:t>
      </w:r>
      <w:r w:rsidRPr="00E306CD">
        <w:t xml:space="preserve"> other state licens</w:t>
      </w:r>
      <w:r>
        <w:t>es in order</w:t>
      </w:r>
      <w:r w:rsidRPr="00E306CD">
        <w:t xml:space="preserve"> to eliminate geographic boundaries</w:t>
      </w:r>
      <w:r>
        <w:t xml:space="preserve"> to telehealth, especially during an emergency</w:t>
      </w:r>
      <w:r w:rsidRPr="00E306CD">
        <w:t>.</w:t>
      </w:r>
    </w:p>
    <w:p w14:paraId="1959D28E" w14:textId="036FC1BF" w:rsidR="00F91E50" w:rsidRDefault="00F91E50" w:rsidP="00866DEA">
      <w:pPr>
        <w:pStyle w:val="ListParagraph"/>
        <w:numPr>
          <w:ilvl w:val="0"/>
          <w:numId w:val="29"/>
        </w:numPr>
        <w:tabs>
          <w:tab w:val="left" w:pos="1180"/>
          <w:tab w:val="left" w:pos="1181"/>
        </w:tabs>
        <w:spacing w:before="120" w:after="120"/>
      </w:pPr>
      <w:r>
        <w:t>State p</w:t>
      </w:r>
      <w:r w:rsidRPr="008A101D">
        <w:t xml:space="preserve">olicymakers and </w:t>
      </w:r>
      <w:r>
        <w:t>e</w:t>
      </w:r>
      <w:r w:rsidRPr="008A101D">
        <w:t xml:space="preserve">conomic </w:t>
      </w:r>
      <w:r>
        <w:t>d</w:t>
      </w:r>
      <w:r w:rsidRPr="008A101D">
        <w:t xml:space="preserve">evelopment </w:t>
      </w:r>
      <w:r>
        <w:t>o</w:t>
      </w:r>
      <w:r w:rsidRPr="008A101D">
        <w:t>ffices should incentivize telehealth by establishing tax breaks and other economic stimulus that foster its utilization in a jurisdiction</w:t>
      </w:r>
      <w:r>
        <w:t>.</w:t>
      </w:r>
    </w:p>
    <w:p w14:paraId="38F85502" w14:textId="1433835D" w:rsidR="004C49A6" w:rsidRDefault="004C49A6" w:rsidP="00866DEA">
      <w:pPr>
        <w:pStyle w:val="Heading2"/>
      </w:pPr>
      <w:bookmarkStart w:id="92" w:name="_bookmark20"/>
      <w:bookmarkStart w:id="93" w:name="_Toc114492081"/>
      <w:bookmarkStart w:id="94" w:name="_Toc115353778"/>
      <w:bookmarkEnd w:id="91"/>
      <w:bookmarkEnd w:id="92"/>
      <w:r>
        <w:t>Recommendations for Telehealth on Tribal Lands</w:t>
      </w:r>
      <w:bookmarkEnd w:id="93"/>
      <w:bookmarkEnd w:id="94"/>
    </w:p>
    <w:p w14:paraId="3757C5CA" w14:textId="6C72FE1A" w:rsidR="004C49A6" w:rsidRPr="00D97D57" w:rsidRDefault="003E6A0B" w:rsidP="00866DEA">
      <w:pPr>
        <w:pStyle w:val="ListParagraph"/>
        <w:numPr>
          <w:ilvl w:val="0"/>
          <w:numId w:val="23"/>
        </w:numPr>
        <w:spacing w:before="120" w:after="120"/>
        <w:ind w:left="720"/>
      </w:pPr>
      <w:r>
        <w:t>Because</w:t>
      </w:r>
      <w:r w:rsidR="004C49A6">
        <w:t xml:space="preserve"> </w:t>
      </w:r>
      <w:r w:rsidR="004C49A6" w:rsidRPr="00E4490F">
        <w:t xml:space="preserve">estimates show </w:t>
      </w:r>
      <w:r w:rsidR="004C49A6">
        <w:t xml:space="preserve">that </w:t>
      </w:r>
      <w:r w:rsidR="004C49A6" w:rsidRPr="00E4490F">
        <w:t xml:space="preserve">more than 18 percent of people living on </w:t>
      </w:r>
      <w:r>
        <w:t>T</w:t>
      </w:r>
      <w:r w:rsidR="004C49A6" w:rsidRPr="00E4490F">
        <w:t>ribal lands remain unserved by broadband as of 2020</w:t>
      </w:r>
      <w:r w:rsidR="00052CA3">
        <w:t>,</w:t>
      </w:r>
      <w:r w:rsidR="009D4784">
        <w:t xml:space="preserve"> </w:t>
      </w:r>
      <w:r w:rsidR="004C49A6" w:rsidRPr="00E4490F">
        <w:t xml:space="preserve">fragmentation of federal programs and difficult application requirements </w:t>
      </w:r>
      <w:r w:rsidR="004C49A6">
        <w:t xml:space="preserve">that </w:t>
      </w:r>
      <w:r w:rsidR="004C49A6" w:rsidRPr="00E4490F">
        <w:t xml:space="preserve">limit </w:t>
      </w:r>
      <w:r w:rsidR="00B81F9D">
        <w:t>T</w:t>
      </w:r>
      <w:r w:rsidR="004C49A6" w:rsidRPr="00E4490F">
        <w:t>ribes’ and providers’ ability</w:t>
      </w:r>
      <w:r w:rsidR="003F564A">
        <w:t xml:space="preserve"> to,</w:t>
      </w:r>
      <w:r w:rsidR="004C49A6" w:rsidRPr="00E4490F">
        <w:t xml:space="preserve"> and interest in participating in</w:t>
      </w:r>
      <w:r w:rsidR="003F564A">
        <w:t>,</w:t>
      </w:r>
      <w:r w:rsidR="004C49A6" w:rsidRPr="00E4490F">
        <w:t xml:space="preserve"> federal broadband </w:t>
      </w:r>
      <w:r w:rsidR="004C49A6" w:rsidRPr="00140B57">
        <w:t>programs</w:t>
      </w:r>
      <w:r w:rsidR="009D4784" w:rsidRPr="00030585">
        <w:t xml:space="preserve"> </w:t>
      </w:r>
      <w:r w:rsidR="004C49A6" w:rsidRPr="00140B57">
        <w:t>s</w:t>
      </w:r>
      <w:r w:rsidR="004C49A6" w:rsidRPr="001E1FB9">
        <w:t>hould be addressed.</w:t>
      </w:r>
    </w:p>
    <w:p w14:paraId="2AA5CAA6" w14:textId="360B5E31" w:rsidR="00D97D57" w:rsidRDefault="00D97D57" w:rsidP="00582E94">
      <w:pPr>
        <w:pStyle w:val="BodyText"/>
        <w:numPr>
          <w:ilvl w:val="0"/>
          <w:numId w:val="23"/>
        </w:numPr>
        <w:spacing w:before="120"/>
        <w:ind w:left="720" w:hanging="259"/>
      </w:pPr>
      <w:r>
        <w:t>T</w:t>
      </w:r>
      <w:r w:rsidRPr="00E4490F">
        <w:t xml:space="preserve">he American Broadband Initiative (ABI), the </w:t>
      </w:r>
      <w:r>
        <w:t xml:space="preserve">nation’s </w:t>
      </w:r>
      <w:r w:rsidRPr="00E4490F">
        <w:t xml:space="preserve">primary broadband </w:t>
      </w:r>
      <w:r>
        <w:t xml:space="preserve">coordination </w:t>
      </w:r>
      <w:r w:rsidRPr="00E4490F">
        <w:t xml:space="preserve">body, </w:t>
      </w:r>
      <w:r>
        <w:t xml:space="preserve">which currently lacks a framework for addressing </w:t>
      </w:r>
      <w:r w:rsidR="00B81F9D">
        <w:t>T</w:t>
      </w:r>
      <w:r>
        <w:t xml:space="preserve">ribal issues, should increase focus on </w:t>
      </w:r>
      <w:r w:rsidR="00B81F9D">
        <w:t>T</w:t>
      </w:r>
      <w:r>
        <w:t>ribal matters.</w:t>
      </w:r>
    </w:p>
    <w:p w14:paraId="55CD5613" w14:textId="0C502B0F" w:rsidR="005C7323" w:rsidRDefault="005C7323" w:rsidP="00582E94">
      <w:pPr>
        <w:pStyle w:val="ListParagraph"/>
        <w:numPr>
          <w:ilvl w:val="0"/>
          <w:numId w:val="23"/>
        </w:numPr>
        <w:tabs>
          <w:tab w:val="left" w:pos="1180"/>
          <w:tab w:val="left" w:pos="1181"/>
        </w:tabs>
        <w:spacing w:before="120" w:after="120"/>
        <w:ind w:left="720" w:hanging="259"/>
      </w:pPr>
      <w:r w:rsidRPr="000259E7">
        <w:lastRenderedPageBreak/>
        <w:t xml:space="preserve">Congress should provide </w:t>
      </w:r>
      <w:r w:rsidR="00B81F9D">
        <w:t>Tribal Nations</w:t>
      </w:r>
      <w:r w:rsidRPr="000259E7">
        <w:t xml:space="preserve"> the flexibility needed to deploy broadband and </w:t>
      </w:r>
      <w:r>
        <w:t>telehealth</w:t>
      </w:r>
      <w:r w:rsidRPr="000259E7">
        <w:t xml:space="preserve"> grant or funding opportunities. </w:t>
      </w:r>
      <w:r w:rsidR="001E1FB9">
        <w:t xml:space="preserve"> </w:t>
      </w:r>
      <w:r w:rsidRPr="000259E7">
        <w:t>At the same time, federal agencies should</w:t>
      </w:r>
      <w:r w:rsidR="003F564A">
        <w:t>, consistent with Congressional intent,</w:t>
      </w:r>
      <w:r w:rsidRPr="000259E7">
        <w:t xml:space="preserve"> </w:t>
      </w:r>
      <w:r w:rsidR="003F564A">
        <w:t xml:space="preserve">flexibly </w:t>
      </w:r>
      <w:r w:rsidRPr="000259E7">
        <w:t xml:space="preserve">interpret the laws Congress passes in favor of </w:t>
      </w:r>
      <w:r w:rsidR="00B81F9D">
        <w:t>T</w:t>
      </w:r>
      <w:r w:rsidRPr="000259E7">
        <w:t>ribes.</w:t>
      </w:r>
      <w:r w:rsidR="001551E9">
        <w:t xml:space="preserve"> </w:t>
      </w:r>
      <w:r w:rsidRPr="000259E7">
        <w:t xml:space="preserve"> This flexibility will result in more strategic approaches that enhance efficiency, adoption and success.</w:t>
      </w:r>
    </w:p>
    <w:p w14:paraId="416BED98" w14:textId="2E9363AD" w:rsidR="005C7323" w:rsidRDefault="005C7323" w:rsidP="00582E94">
      <w:pPr>
        <w:pStyle w:val="ListParagraph"/>
        <w:numPr>
          <w:ilvl w:val="0"/>
          <w:numId w:val="23"/>
        </w:numPr>
        <w:tabs>
          <w:tab w:val="left" w:pos="1180"/>
          <w:tab w:val="left" w:pos="1181"/>
        </w:tabs>
        <w:spacing w:before="120"/>
        <w:ind w:left="720" w:hanging="259"/>
      </w:pPr>
      <w:r w:rsidRPr="00FF0C3B">
        <w:t xml:space="preserve">The </w:t>
      </w:r>
      <w:r w:rsidR="000F23D4">
        <w:t>F</w:t>
      </w:r>
      <w:r w:rsidRPr="00FF0C3B">
        <w:t>ederal government should minimize the regulatory barriers and uphold its treaty and trust responsibility to Tribal Nations by providing the necessary resource</w:t>
      </w:r>
      <w:r>
        <w:t>s</w:t>
      </w:r>
      <w:r w:rsidRPr="00FF0C3B">
        <w:t xml:space="preserve"> to expand </w:t>
      </w:r>
      <w:r>
        <w:t xml:space="preserve">affordable broadband </w:t>
      </w:r>
      <w:r w:rsidRPr="00FF0C3B">
        <w:t>access.</w:t>
      </w:r>
    </w:p>
    <w:p w14:paraId="2201FCC4" w14:textId="36E7F6AF" w:rsidR="00685C3E" w:rsidRDefault="00685C3E" w:rsidP="00582E94">
      <w:pPr>
        <w:pStyle w:val="ListParagraph"/>
        <w:numPr>
          <w:ilvl w:val="0"/>
          <w:numId w:val="23"/>
        </w:numPr>
        <w:tabs>
          <w:tab w:val="left" w:pos="1180"/>
          <w:tab w:val="left" w:pos="1181"/>
        </w:tabs>
        <w:spacing w:before="120"/>
        <w:ind w:left="720" w:hanging="259"/>
      </w:pPr>
      <w:r>
        <w:t>Tribal governments</w:t>
      </w:r>
      <w:r>
        <w:rPr>
          <w:spacing w:val="-2"/>
        </w:rPr>
        <w:t xml:space="preserve"> need </w:t>
      </w:r>
      <w:r>
        <w:rPr>
          <w:spacing w:val="-52"/>
        </w:rPr>
        <w:t xml:space="preserve">  </w:t>
      </w:r>
      <w:r>
        <w:t>to</w:t>
      </w:r>
      <w:r>
        <w:rPr>
          <w:spacing w:val="-1"/>
        </w:rPr>
        <w:t xml:space="preserve"> </w:t>
      </w:r>
      <w:r>
        <w:t>be</w:t>
      </w:r>
      <w:r>
        <w:rPr>
          <w:spacing w:val="-1"/>
        </w:rPr>
        <w:t xml:space="preserve"> </w:t>
      </w:r>
      <w:r>
        <w:t>aware</w:t>
      </w:r>
      <w:r>
        <w:rPr>
          <w:spacing w:val="-1"/>
        </w:rPr>
        <w:t xml:space="preserve"> </w:t>
      </w:r>
      <w:r>
        <w:t>of</w:t>
      </w:r>
      <w:r>
        <w:rPr>
          <w:spacing w:val="-1"/>
        </w:rPr>
        <w:t xml:space="preserve"> </w:t>
      </w:r>
      <w:r>
        <w:t>the</w:t>
      </w:r>
      <w:r>
        <w:rPr>
          <w:spacing w:val="-1"/>
        </w:rPr>
        <w:t xml:space="preserve"> </w:t>
      </w:r>
      <w:r>
        <w:t>technologies</w:t>
      </w:r>
      <w:r>
        <w:rPr>
          <w:spacing w:val="-2"/>
        </w:rPr>
        <w:t xml:space="preserve"> </w:t>
      </w:r>
      <w:r>
        <w:t>and services</w:t>
      </w:r>
      <w:r>
        <w:rPr>
          <w:spacing w:val="-1"/>
        </w:rPr>
        <w:t xml:space="preserve"> </w:t>
      </w:r>
      <w:r>
        <w:t>available</w:t>
      </w:r>
      <w:r>
        <w:rPr>
          <w:spacing w:val="-1"/>
        </w:rPr>
        <w:t xml:space="preserve"> </w:t>
      </w:r>
      <w:r>
        <w:t>for</w:t>
      </w:r>
      <w:r>
        <w:rPr>
          <w:spacing w:val="3"/>
        </w:rPr>
        <w:t xml:space="preserve"> </w:t>
      </w:r>
      <w:r>
        <w:t>telehealth.</w:t>
      </w:r>
    </w:p>
    <w:p w14:paraId="62AE5B06" w14:textId="77777777" w:rsidR="000F23D4" w:rsidRDefault="000F23D4" w:rsidP="00582E94">
      <w:pPr>
        <w:pStyle w:val="ListParagraph"/>
        <w:numPr>
          <w:ilvl w:val="0"/>
          <w:numId w:val="23"/>
        </w:numPr>
        <w:tabs>
          <w:tab w:val="left" w:pos="1180"/>
          <w:tab w:val="left" w:pos="1181"/>
        </w:tabs>
        <w:spacing w:before="120"/>
        <w:ind w:left="720" w:hanging="259"/>
      </w:pPr>
      <w:r w:rsidRPr="00F508F8">
        <w:t>Tribes should develop robust digital literacy</w:t>
      </w:r>
      <w:r>
        <w:t xml:space="preserve"> and</w:t>
      </w:r>
      <w:r w:rsidRPr="00F508F8">
        <w:t xml:space="preserve"> digital navigator</w:t>
      </w:r>
      <w:r>
        <w:t xml:space="preserve"> </w:t>
      </w:r>
      <w:r w:rsidRPr="00F508F8">
        <w:t>programs within their governments or health system</w:t>
      </w:r>
      <w:r>
        <w:t>s</w:t>
      </w:r>
      <w:r w:rsidRPr="00F508F8">
        <w:t xml:space="preserve"> to provide support for citizens to receive services through </w:t>
      </w:r>
      <w:r>
        <w:t>telehealth</w:t>
      </w:r>
      <w:r w:rsidRPr="00F508F8">
        <w:t>.</w:t>
      </w:r>
    </w:p>
    <w:p w14:paraId="5ADF1676" w14:textId="1E384BBF" w:rsidR="00332C4F" w:rsidRDefault="00332C4F" w:rsidP="00582E94">
      <w:pPr>
        <w:pStyle w:val="ListParagraph"/>
        <w:numPr>
          <w:ilvl w:val="0"/>
          <w:numId w:val="23"/>
        </w:numPr>
        <w:tabs>
          <w:tab w:val="left" w:pos="1180"/>
          <w:tab w:val="left" w:pos="1181"/>
        </w:tabs>
        <w:spacing w:before="120"/>
        <w:ind w:left="720"/>
      </w:pPr>
      <w:bookmarkStart w:id="95" w:name="_Hlk115085619"/>
      <w:r>
        <w:t xml:space="preserve">Indian Health Services </w:t>
      </w:r>
      <w:r w:rsidR="00A30D29">
        <w:t>(</w:t>
      </w:r>
      <w:r w:rsidR="00A70D00">
        <w:t>IHS</w:t>
      </w:r>
      <w:r w:rsidR="00A30D29">
        <w:t xml:space="preserve">) </w:t>
      </w:r>
      <w:r>
        <w:t>has t</w:t>
      </w:r>
      <w:r w:rsidRPr="00F2612F">
        <w:t>wo national</w:t>
      </w:r>
      <w:r>
        <w:t xml:space="preserve"> telehealth</w:t>
      </w:r>
      <w:r w:rsidRPr="00F2612F">
        <w:t xml:space="preserve"> programs</w:t>
      </w:r>
      <w:r w:rsidR="00A30D29">
        <w:t>,</w:t>
      </w:r>
      <w:r>
        <w:rPr>
          <w:rStyle w:val="FootnoteReference"/>
        </w:rPr>
        <w:footnoteReference w:id="95"/>
      </w:r>
      <w:r w:rsidR="00A30D29">
        <w:t xml:space="preserve"> </w:t>
      </w:r>
      <w:r w:rsidRPr="00F2612F">
        <w:t xml:space="preserve">but </w:t>
      </w:r>
      <w:r w:rsidR="00A30D29">
        <w:t>one</w:t>
      </w:r>
      <w:r w:rsidRPr="00F2612F">
        <w:t xml:space="preserve"> is </w:t>
      </w:r>
      <w:r w:rsidR="00464C49">
        <w:t xml:space="preserve">locally </w:t>
      </w:r>
      <w:r w:rsidRPr="00F2612F">
        <w:t>driven, which doesn't bring consistency for all Native patients u</w:t>
      </w:r>
      <w:r w:rsidR="003F564A">
        <w:t>tilizing telehealth services</w:t>
      </w:r>
      <w:r w:rsidR="00A30D29">
        <w:t xml:space="preserve">.  </w:t>
      </w:r>
      <w:r w:rsidR="00A70D00">
        <w:t>IHS</w:t>
      </w:r>
      <w:r w:rsidR="00A30D29">
        <w:t xml:space="preserve"> should be e</w:t>
      </w:r>
      <w:r w:rsidR="00A30D29" w:rsidRPr="00F2612F">
        <w:t>ncourage</w:t>
      </w:r>
      <w:r w:rsidR="00A30D29">
        <w:t xml:space="preserve">d </w:t>
      </w:r>
      <w:r w:rsidR="009271DB" w:rsidRPr="009271DB">
        <w:t>to use sta</w:t>
      </w:r>
      <w:r w:rsidR="009271DB">
        <w:t>n</w:t>
      </w:r>
      <w:r w:rsidR="009271DB" w:rsidRPr="009271DB">
        <w:t>da</w:t>
      </w:r>
      <w:r w:rsidR="009271DB">
        <w:t>r</w:t>
      </w:r>
      <w:r w:rsidR="009271DB" w:rsidRPr="009271DB">
        <w:t>dized telehealth program approaches to give patients in both programs similar options for telehealth services</w:t>
      </w:r>
      <w:r w:rsidR="009271DB">
        <w:t xml:space="preserve"> </w:t>
      </w:r>
      <w:r w:rsidR="00A30D29">
        <w:t>to use</w:t>
      </w:r>
      <w:r w:rsidR="00A30D29" w:rsidRPr="00F2612F">
        <w:t xml:space="preserve"> standard </w:t>
      </w:r>
      <w:r w:rsidR="00A30D29">
        <w:t>telehealth</w:t>
      </w:r>
      <w:r w:rsidR="00A30D29" w:rsidRPr="00F2612F">
        <w:t xml:space="preserve"> services to give patients the ability to choose how they would like to receive care</w:t>
      </w:r>
      <w:r w:rsidR="00A30D29">
        <w:t>.</w:t>
      </w:r>
    </w:p>
    <w:bookmarkEnd w:id="95"/>
    <w:p w14:paraId="0EE3051B" w14:textId="4C0BCA7E" w:rsidR="000F23D4" w:rsidRDefault="000F23D4" w:rsidP="00582E94">
      <w:pPr>
        <w:pStyle w:val="ListParagraph"/>
        <w:numPr>
          <w:ilvl w:val="0"/>
          <w:numId w:val="23"/>
        </w:numPr>
        <w:tabs>
          <w:tab w:val="left" w:pos="1180"/>
          <w:tab w:val="left" w:pos="1181"/>
        </w:tabs>
        <w:spacing w:before="120"/>
        <w:ind w:left="720"/>
      </w:pPr>
      <w:r>
        <w:t>Telehealth</w:t>
      </w:r>
      <w:r>
        <w:rPr>
          <w:spacing w:val="-2"/>
        </w:rPr>
        <w:t xml:space="preserve"> </w:t>
      </w:r>
      <w:r>
        <w:t>considerations</w:t>
      </w:r>
      <w:r>
        <w:rPr>
          <w:spacing w:val="-1"/>
        </w:rPr>
        <w:t xml:space="preserve"> </w:t>
      </w:r>
      <w:r>
        <w:t>and</w:t>
      </w:r>
      <w:r>
        <w:rPr>
          <w:spacing w:val="-2"/>
        </w:rPr>
        <w:t xml:space="preserve"> </w:t>
      </w:r>
      <w:r>
        <w:t>the infrastructure</w:t>
      </w:r>
      <w:r>
        <w:rPr>
          <w:spacing w:val="-1"/>
        </w:rPr>
        <w:t xml:space="preserve"> </w:t>
      </w:r>
      <w:r>
        <w:t>to</w:t>
      </w:r>
      <w:r>
        <w:rPr>
          <w:spacing w:val="-1"/>
        </w:rPr>
        <w:t xml:space="preserve"> </w:t>
      </w:r>
      <w:r>
        <w:t>provide</w:t>
      </w:r>
      <w:r>
        <w:rPr>
          <w:spacing w:val="-2"/>
        </w:rPr>
        <w:t xml:space="preserve"> </w:t>
      </w:r>
      <w:r>
        <w:t>health</w:t>
      </w:r>
      <w:r>
        <w:rPr>
          <w:spacing w:val="-2"/>
        </w:rPr>
        <w:t xml:space="preserve"> </w:t>
      </w:r>
      <w:r>
        <w:t>services</w:t>
      </w:r>
      <w:r>
        <w:rPr>
          <w:spacing w:val="-2"/>
        </w:rPr>
        <w:t xml:space="preserve"> </w:t>
      </w:r>
      <w:r>
        <w:t>virtually</w:t>
      </w:r>
      <w:r>
        <w:rPr>
          <w:spacing w:val="-2"/>
        </w:rPr>
        <w:t xml:space="preserve"> </w:t>
      </w:r>
      <w:r>
        <w:t>should</w:t>
      </w:r>
      <w:r>
        <w:rPr>
          <w:spacing w:val="-2"/>
        </w:rPr>
        <w:t xml:space="preserve"> </w:t>
      </w:r>
      <w:r>
        <w:t>be integrated</w:t>
      </w:r>
      <w:r>
        <w:rPr>
          <w:spacing w:val="-1"/>
        </w:rPr>
        <w:t xml:space="preserve"> </w:t>
      </w:r>
      <w:r>
        <w:t>into all</w:t>
      </w:r>
      <w:r>
        <w:rPr>
          <w:spacing w:val="1"/>
        </w:rPr>
        <w:t xml:space="preserve"> </w:t>
      </w:r>
      <w:r>
        <w:t>Tribal lands</w:t>
      </w:r>
      <w:r>
        <w:rPr>
          <w:spacing w:val="-2"/>
        </w:rPr>
        <w:t xml:space="preserve"> </w:t>
      </w:r>
      <w:r>
        <w:t>emergency</w:t>
      </w:r>
      <w:r>
        <w:rPr>
          <w:spacing w:val="1"/>
        </w:rPr>
        <w:t xml:space="preserve"> </w:t>
      </w:r>
      <w:r>
        <w:t>planning.</w:t>
      </w:r>
    </w:p>
    <w:p w14:paraId="78005BB0" w14:textId="4A68FE80" w:rsidR="003C089A" w:rsidRDefault="005B7E50" w:rsidP="00030585">
      <w:pPr>
        <w:pStyle w:val="Heading2"/>
      </w:pPr>
      <w:bookmarkStart w:id="96" w:name="_Toc114492082"/>
      <w:bookmarkStart w:id="97" w:name="_Toc115353779"/>
      <w:r>
        <w:t>Recommendations</w:t>
      </w:r>
      <w:r w:rsidR="00E00FD2">
        <w:t xml:space="preserve"> </w:t>
      </w:r>
      <w:r w:rsidR="00935094">
        <w:t>on Improving Digital Literacy</w:t>
      </w:r>
      <w:bookmarkEnd w:id="96"/>
      <w:bookmarkEnd w:id="97"/>
    </w:p>
    <w:p w14:paraId="38DB7C2F" w14:textId="77777777" w:rsidR="00AC398C" w:rsidRPr="0078226B" w:rsidRDefault="00AC398C" w:rsidP="00AC398C">
      <w:pPr>
        <w:pStyle w:val="BodyText"/>
        <w:spacing w:before="120" w:after="120"/>
        <w:ind w:firstLine="720"/>
      </w:pPr>
      <w:r w:rsidRPr="0078226B">
        <w:t>The following are steps healthcare providers</w:t>
      </w:r>
      <w:r>
        <w:t xml:space="preserve">, health systems, technology developers, and governments </w:t>
      </w:r>
      <w:r w:rsidRPr="0078226B">
        <w:t>can take to help bridge the digital divide</w:t>
      </w:r>
      <w:r>
        <w:t xml:space="preserve"> when it comes to digital literacy and equitable access to telehealth</w:t>
      </w:r>
      <w:r w:rsidRPr="0078226B">
        <w:t>:</w:t>
      </w:r>
    </w:p>
    <w:p w14:paraId="1855D05B" w14:textId="77189005" w:rsidR="00AC398C" w:rsidRDefault="00AC398C" w:rsidP="00030585">
      <w:pPr>
        <w:pStyle w:val="BodyText"/>
        <w:numPr>
          <w:ilvl w:val="0"/>
          <w:numId w:val="24"/>
        </w:numPr>
        <w:spacing w:after="120"/>
        <w:ind w:left="821"/>
      </w:pPr>
      <w:r w:rsidRPr="00365B62">
        <w:rPr>
          <w:u w:val="single"/>
        </w:rPr>
        <w:t>Educate</w:t>
      </w:r>
      <w:r w:rsidR="009D4784">
        <w:t xml:space="preserve">:  </w:t>
      </w:r>
      <w:r>
        <w:t>Telehealth providers should p</w:t>
      </w:r>
      <w:r w:rsidRPr="0078226B">
        <w:t>rovide patient</w:t>
      </w:r>
      <w:r>
        <w:t>s</w:t>
      </w:r>
      <w:r w:rsidRPr="0078226B">
        <w:t xml:space="preserve"> with educational materials outlining what to expect from </w:t>
      </w:r>
      <w:r>
        <w:t>a telehealth</w:t>
      </w:r>
      <w:r w:rsidRPr="0078226B">
        <w:t xml:space="preserve"> program</w:t>
      </w:r>
      <w:r>
        <w:t xml:space="preserve"> </w:t>
      </w:r>
      <w:r w:rsidRPr="0078226B">
        <w:t>and what is expected from the patient regarding engagement with the technology</w:t>
      </w:r>
      <w:r w:rsidR="009D4784">
        <w:t>.</w:t>
      </w:r>
    </w:p>
    <w:p w14:paraId="02B763D3" w14:textId="35B5F675" w:rsidR="00AC398C" w:rsidRDefault="00AC398C" w:rsidP="00030585">
      <w:pPr>
        <w:pStyle w:val="BodyText"/>
        <w:numPr>
          <w:ilvl w:val="0"/>
          <w:numId w:val="24"/>
        </w:numPr>
        <w:spacing w:after="120"/>
        <w:ind w:left="821"/>
      </w:pPr>
      <w:r w:rsidRPr="00FA01DD">
        <w:rPr>
          <w:u w:val="single"/>
        </w:rPr>
        <w:t>Adopt the right technology</w:t>
      </w:r>
      <w:r w:rsidR="009D4784">
        <w:t xml:space="preserve">:  </w:t>
      </w:r>
      <w:r>
        <w:t>O</w:t>
      </w:r>
      <w:r w:rsidRPr="0078226B">
        <w:t>rganizations purchasing technology should ensure that it </w:t>
      </w:r>
      <w:hyperlink r:id="rId15" w:history="1">
        <w:r w:rsidRPr="009D4784">
          <w:rPr>
            <w:rStyle w:val="Hyperlink"/>
            <w:color w:val="auto"/>
            <w:u w:val="none"/>
          </w:rPr>
          <w:t>meets the needs of patients with digital literacy</w:t>
        </w:r>
      </w:hyperlink>
      <w:r w:rsidR="001551E9">
        <w:t xml:space="preserve"> </w:t>
      </w:r>
      <w:r w:rsidRPr="0078226B">
        <w:t>barriers</w:t>
      </w:r>
      <w:r w:rsidR="009D4784">
        <w:t>.</w:t>
      </w:r>
    </w:p>
    <w:p w14:paraId="714E89F4" w14:textId="04653F0F" w:rsidR="00AC398C" w:rsidRDefault="00AC398C" w:rsidP="00030585">
      <w:pPr>
        <w:pStyle w:val="BodyText"/>
        <w:numPr>
          <w:ilvl w:val="0"/>
          <w:numId w:val="24"/>
        </w:numPr>
        <w:spacing w:after="120"/>
        <w:ind w:left="821"/>
      </w:pPr>
      <w:r w:rsidRPr="00FA01DD">
        <w:rPr>
          <w:u w:val="single"/>
        </w:rPr>
        <w:t>Develop user-friendly technology</w:t>
      </w:r>
      <w:r w:rsidR="009D4784">
        <w:t xml:space="preserve">:  </w:t>
      </w:r>
      <w:hyperlink r:id="rId16" w:history="1">
        <w:r w:rsidRPr="009D4784">
          <w:rPr>
            <w:rStyle w:val="Hyperlink"/>
            <w:color w:val="auto"/>
            <w:u w:val="none"/>
          </w:rPr>
          <w:t>Technology developers should make their technology more user friendly</w:t>
        </w:r>
      </w:hyperlink>
      <w:r w:rsidRPr="0078226B">
        <w:t> and help institutions</w:t>
      </w:r>
      <w:r w:rsidR="001551E9">
        <w:t xml:space="preserve"> </w:t>
      </w:r>
      <w:r w:rsidRPr="00365B62">
        <w:t>plan to deploy it</w:t>
      </w:r>
      <w:r w:rsidR="00C8632B">
        <w:t>, including accessibility features to make the technology accessible to individuals with disabilities.</w:t>
      </w:r>
    </w:p>
    <w:p w14:paraId="7E6BC7A9" w14:textId="1C670D7F" w:rsidR="00AC398C" w:rsidRDefault="00AC398C" w:rsidP="00030585">
      <w:pPr>
        <w:pStyle w:val="BodyText"/>
        <w:numPr>
          <w:ilvl w:val="0"/>
          <w:numId w:val="24"/>
        </w:numPr>
        <w:spacing w:after="120"/>
        <w:ind w:left="821"/>
      </w:pPr>
      <w:r w:rsidRPr="00FA01DD">
        <w:rPr>
          <w:u w:val="single"/>
        </w:rPr>
        <w:t>Monitor</w:t>
      </w:r>
      <w:r w:rsidR="009D4784">
        <w:t xml:space="preserve">:  </w:t>
      </w:r>
      <w:r>
        <w:t>Telehealth providers should look at who is using audio versus video telehealth to offer additional help to patients who need it</w:t>
      </w:r>
      <w:r w:rsidR="00C8632B">
        <w:t>, including accommodations to patients with disabilities</w:t>
      </w:r>
      <w:r w:rsidR="009D4784">
        <w:t>.</w:t>
      </w:r>
    </w:p>
    <w:p w14:paraId="75902977" w14:textId="2ADCBC2B" w:rsidR="00AC398C" w:rsidRDefault="00AC398C" w:rsidP="00030585">
      <w:pPr>
        <w:pStyle w:val="BodyText"/>
        <w:numPr>
          <w:ilvl w:val="0"/>
          <w:numId w:val="24"/>
        </w:numPr>
        <w:spacing w:after="120"/>
        <w:ind w:left="821"/>
      </w:pPr>
      <w:r>
        <w:rPr>
          <w:u w:val="single"/>
        </w:rPr>
        <w:t>Recommend</w:t>
      </w:r>
      <w:r w:rsidR="009D4784">
        <w:t xml:space="preserve">: </w:t>
      </w:r>
      <w:r>
        <w:t>Telehealth providers should recommend patients use free mobile-based telehealth solutions for ease of patient adoption and accessibility if there are connection issues</w:t>
      </w:r>
      <w:r w:rsidR="009D4784">
        <w:t>.</w:t>
      </w:r>
    </w:p>
    <w:p w14:paraId="5A224024" w14:textId="04F165B6" w:rsidR="00AC398C" w:rsidRDefault="00AC398C" w:rsidP="00030585">
      <w:pPr>
        <w:pStyle w:val="BodyText"/>
        <w:numPr>
          <w:ilvl w:val="0"/>
          <w:numId w:val="24"/>
        </w:numPr>
        <w:spacing w:after="120"/>
        <w:ind w:left="821"/>
      </w:pPr>
      <w:r>
        <w:rPr>
          <w:u w:val="single"/>
        </w:rPr>
        <w:t>Advocate</w:t>
      </w:r>
      <w:r w:rsidR="009D4784">
        <w:t xml:space="preserve">:  </w:t>
      </w:r>
      <w:r>
        <w:t xml:space="preserve">Health systems should become powerful advocates at local, state and national levels for increasing </w:t>
      </w:r>
      <w:r w:rsidR="003F564A">
        <w:t xml:space="preserve">access to, and adoption of </w:t>
      </w:r>
      <w:r>
        <w:t>affordable broadband and devices by highlighting the value of connectivity</w:t>
      </w:r>
      <w:r w:rsidR="009D4784">
        <w:t>.</w:t>
      </w:r>
    </w:p>
    <w:p w14:paraId="1ADEBFF5" w14:textId="0672A397" w:rsidR="00712390" w:rsidRDefault="00AC398C" w:rsidP="00030585">
      <w:pPr>
        <w:pStyle w:val="BodyText"/>
        <w:numPr>
          <w:ilvl w:val="0"/>
          <w:numId w:val="24"/>
        </w:numPr>
        <w:spacing w:after="120"/>
        <w:ind w:left="821"/>
      </w:pPr>
      <w:r>
        <w:rPr>
          <w:u w:val="single"/>
        </w:rPr>
        <w:t>Increase broadband support to communities identified as having issues with digital literacy</w:t>
      </w:r>
      <w:r w:rsidR="009D4784">
        <w:t xml:space="preserve">:  </w:t>
      </w:r>
      <w:r>
        <w:lastRenderedPageBreak/>
        <w:t>Governments should increase broadband support</w:t>
      </w:r>
      <w:r w:rsidRPr="009365EC">
        <w:t xml:space="preserve"> </w:t>
      </w:r>
      <w:r w:rsidR="00F73A62">
        <w:t>(such as funding and education)</w:t>
      </w:r>
      <w:r w:rsidR="00F73A62" w:rsidRPr="009365EC">
        <w:t xml:space="preserve"> </w:t>
      </w:r>
      <w:r w:rsidRPr="009365EC">
        <w:t>to rural and disadvantaged communities</w:t>
      </w:r>
      <w:r>
        <w:t>,</w:t>
      </w:r>
      <w:r w:rsidRPr="009365EC">
        <w:t xml:space="preserve"> so that </w:t>
      </w:r>
      <w:r w:rsidR="003F564A">
        <w:t xml:space="preserve">lack of </w:t>
      </w:r>
      <w:r w:rsidRPr="009365EC">
        <w:t>digital literacy</w:t>
      </w:r>
      <w:r w:rsidRPr="009D4784">
        <w:rPr>
          <w:spacing w:val="1"/>
        </w:rPr>
        <w:t xml:space="preserve"> </w:t>
      </w:r>
      <w:r w:rsidRPr="009365EC">
        <w:t>and adoption deficits do not exacerbate the digital divide.</w:t>
      </w:r>
    </w:p>
    <w:p w14:paraId="30798D0E" w14:textId="3B4EB849" w:rsidR="00AC398C" w:rsidRDefault="00712390" w:rsidP="00030585">
      <w:pPr>
        <w:pStyle w:val="BodyText"/>
        <w:numPr>
          <w:ilvl w:val="0"/>
          <w:numId w:val="24"/>
        </w:numPr>
        <w:spacing w:before="120" w:after="120"/>
      </w:pPr>
      <w:r>
        <w:rPr>
          <w:u w:val="single"/>
        </w:rPr>
        <w:t>Focus on diversity</w:t>
      </w:r>
      <w:r w:rsidR="009D4784">
        <w:t>:</w:t>
      </w:r>
      <w:r w:rsidR="009D4784">
        <w:rPr>
          <w:color w:val="000000"/>
        </w:rPr>
        <w:t xml:space="preserve">  </w:t>
      </w:r>
      <w:r w:rsidRPr="009D4784">
        <w:rPr>
          <w:color w:val="000000"/>
        </w:rPr>
        <w:t>Providers should focus on developing diversity within their support staff to ensure that they are sensitive to other languages and cultures.</w:t>
      </w:r>
    </w:p>
    <w:p w14:paraId="129CDD0E" w14:textId="6DD537BF" w:rsidR="00D97D57" w:rsidRDefault="00D97D57" w:rsidP="00030585">
      <w:pPr>
        <w:pStyle w:val="Heading2"/>
      </w:pPr>
      <w:bookmarkStart w:id="98" w:name="_Toc114492083"/>
      <w:bookmarkStart w:id="99" w:name="_Toc115353780"/>
      <w:r>
        <w:t xml:space="preserve">Recommendations </w:t>
      </w:r>
      <w:r w:rsidR="007B6815">
        <w:t xml:space="preserve">on </w:t>
      </w:r>
      <w:r>
        <w:t xml:space="preserve">Standardizing Telehealth Data, Interoperability, APIs and </w:t>
      </w:r>
      <w:r w:rsidR="006D54CA">
        <w:t>Centralizing Telehealth</w:t>
      </w:r>
      <w:bookmarkEnd w:id="98"/>
      <w:bookmarkEnd w:id="99"/>
    </w:p>
    <w:p w14:paraId="35FDC40A" w14:textId="34D92F66" w:rsidR="009828D2" w:rsidRDefault="009828D2" w:rsidP="00E02D84">
      <w:pPr>
        <w:pStyle w:val="ListParagraph"/>
        <w:numPr>
          <w:ilvl w:val="0"/>
          <w:numId w:val="24"/>
        </w:numPr>
        <w:tabs>
          <w:tab w:val="left" w:pos="1180"/>
          <w:tab w:val="left" w:pos="1181"/>
        </w:tabs>
        <w:spacing w:before="120" w:after="120"/>
      </w:pPr>
      <w:r>
        <w:t>Telehealth providers and other stakeholders,</w:t>
      </w:r>
      <w:r w:rsidR="00F73A62">
        <w:rPr>
          <w:rStyle w:val="FootnoteReference"/>
        </w:rPr>
        <w:footnoteReference w:id="96"/>
      </w:r>
      <w:r>
        <w:t xml:space="preserve"> including software engineers and health informaticists, should work together to help standardize data collection that can be implemented nationally to foster better telehealth care.</w:t>
      </w:r>
    </w:p>
    <w:p w14:paraId="7833792C" w14:textId="663E2763" w:rsidR="009828D2" w:rsidRDefault="009828D2" w:rsidP="007B6815">
      <w:pPr>
        <w:pStyle w:val="ListParagraph"/>
        <w:numPr>
          <w:ilvl w:val="0"/>
          <w:numId w:val="24"/>
        </w:numPr>
        <w:tabs>
          <w:tab w:val="left" w:pos="1180"/>
          <w:tab w:val="left" w:pos="1181"/>
        </w:tabs>
        <w:spacing w:before="120"/>
      </w:pPr>
      <w:r>
        <w:t>Providers</w:t>
      </w:r>
      <w:r w:rsidRPr="007B6815">
        <w:rPr>
          <w:spacing w:val="-3"/>
        </w:rPr>
        <w:t xml:space="preserve"> </w:t>
      </w:r>
      <w:r>
        <w:t>must</w:t>
      </w:r>
      <w:r w:rsidRPr="007B6815">
        <w:rPr>
          <w:spacing w:val="-3"/>
        </w:rPr>
        <w:t xml:space="preserve"> </w:t>
      </w:r>
      <w:r>
        <w:t>ensure</w:t>
      </w:r>
      <w:r w:rsidRPr="007B6815">
        <w:rPr>
          <w:spacing w:val="-2"/>
        </w:rPr>
        <w:t xml:space="preserve"> </w:t>
      </w:r>
      <w:r>
        <w:t>that</w:t>
      </w:r>
      <w:r w:rsidRPr="007B6815">
        <w:rPr>
          <w:spacing w:val="-3"/>
        </w:rPr>
        <w:t xml:space="preserve"> </w:t>
      </w:r>
      <w:r>
        <w:t>any</w:t>
      </w:r>
      <w:r w:rsidRPr="007B6815">
        <w:rPr>
          <w:spacing w:val="-1"/>
        </w:rPr>
        <w:t xml:space="preserve"> </w:t>
      </w:r>
      <w:r>
        <w:t>equipment</w:t>
      </w:r>
      <w:r w:rsidRPr="007B6815">
        <w:rPr>
          <w:spacing w:val="-1"/>
        </w:rPr>
        <w:t xml:space="preserve"> </w:t>
      </w:r>
      <w:r>
        <w:t>they</w:t>
      </w:r>
      <w:r w:rsidRPr="007B6815">
        <w:rPr>
          <w:spacing w:val="-1"/>
        </w:rPr>
        <w:t xml:space="preserve"> </w:t>
      </w:r>
      <w:r>
        <w:t>purchase</w:t>
      </w:r>
      <w:r w:rsidRPr="007B6815">
        <w:rPr>
          <w:spacing w:val="1"/>
        </w:rPr>
        <w:t xml:space="preserve"> </w:t>
      </w:r>
      <w:r>
        <w:t>is</w:t>
      </w:r>
      <w:r w:rsidRPr="007B6815">
        <w:rPr>
          <w:spacing w:val="-3"/>
        </w:rPr>
        <w:t xml:space="preserve"> </w:t>
      </w:r>
      <w:r>
        <w:t>interoperable</w:t>
      </w:r>
      <w:r w:rsidRPr="007B6815">
        <w:rPr>
          <w:spacing w:val="-2"/>
        </w:rPr>
        <w:t xml:space="preserve"> </w:t>
      </w:r>
      <w:r>
        <w:t>and meets</w:t>
      </w:r>
      <w:r w:rsidRPr="007B6815">
        <w:rPr>
          <w:spacing w:val="-3"/>
        </w:rPr>
        <w:t xml:space="preserve"> industry standards</w:t>
      </w:r>
      <w:r w:rsidRPr="007B6815">
        <w:rPr>
          <w:spacing w:val="-2"/>
        </w:rPr>
        <w:t xml:space="preserve"> </w:t>
      </w:r>
      <w:r>
        <w:t>and can</w:t>
      </w:r>
      <w:r w:rsidRPr="007B6815">
        <w:rPr>
          <w:spacing w:val="-1"/>
        </w:rPr>
        <w:t xml:space="preserve"> </w:t>
      </w:r>
      <w:r>
        <w:t>be</w:t>
      </w:r>
      <w:r w:rsidRPr="007B6815">
        <w:rPr>
          <w:spacing w:val="-2"/>
        </w:rPr>
        <w:t xml:space="preserve"> </w:t>
      </w:r>
      <w:r>
        <w:t>used to connect</w:t>
      </w:r>
      <w:r w:rsidRPr="007B6815">
        <w:rPr>
          <w:spacing w:val="-2"/>
        </w:rPr>
        <w:t xml:space="preserve"> </w:t>
      </w:r>
      <w:r>
        <w:t>to</w:t>
      </w:r>
      <w:r w:rsidRPr="007B6815">
        <w:rPr>
          <w:spacing w:val="-1"/>
        </w:rPr>
        <w:t xml:space="preserve"> </w:t>
      </w:r>
      <w:r>
        <w:t>multiple</w:t>
      </w:r>
      <w:r w:rsidRPr="007B6815">
        <w:rPr>
          <w:spacing w:val="3"/>
        </w:rPr>
        <w:t xml:space="preserve"> </w:t>
      </w:r>
      <w:r>
        <w:t>telemedicine platforms.  To</w:t>
      </w:r>
      <w:r w:rsidRPr="007B6815">
        <w:rPr>
          <w:spacing w:val="-2"/>
        </w:rPr>
        <w:t xml:space="preserve"> </w:t>
      </w:r>
      <w:r>
        <w:t>be</w:t>
      </w:r>
      <w:r w:rsidRPr="007B6815">
        <w:rPr>
          <w:spacing w:val="-2"/>
        </w:rPr>
        <w:t xml:space="preserve"> </w:t>
      </w:r>
      <w:r>
        <w:t>considered</w:t>
      </w:r>
      <w:r w:rsidRPr="007B6815">
        <w:rPr>
          <w:spacing w:val="-3"/>
        </w:rPr>
        <w:t xml:space="preserve"> </w:t>
      </w:r>
      <w:r>
        <w:t>interoperable, software</w:t>
      </w:r>
      <w:r w:rsidRPr="007B6815">
        <w:rPr>
          <w:spacing w:val="-3"/>
        </w:rPr>
        <w:t xml:space="preserve"> </w:t>
      </w:r>
      <w:r>
        <w:t>vendors</w:t>
      </w:r>
      <w:r w:rsidRPr="007B6815">
        <w:rPr>
          <w:spacing w:val="-2"/>
        </w:rPr>
        <w:t xml:space="preserve"> </w:t>
      </w:r>
      <w:r>
        <w:t>should</w:t>
      </w:r>
      <w:r w:rsidRPr="007B6815">
        <w:rPr>
          <w:spacing w:val="-1"/>
        </w:rPr>
        <w:t xml:space="preserve"> </w:t>
      </w:r>
      <w:r>
        <w:t>be</w:t>
      </w:r>
      <w:r w:rsidRPr="007B6815">
        <w:rPr>
          <w:spacing w:val="-3"/>
        </w:rPr>
        <w:t xml:space="preserve"> </w:t>
      </w:r>
      <w:r>
        <w:t>required</w:t>
      </w:r>
      <w:r w:rsidRPr="007B6815">
        <w:rPr>
          <w:spacing w:val="-1"/>
        </w:rPr>
        <w:t xml:space="preserve"> </w:t>
      </w:r>
      <w:r>
        <w:t>to</w:t>
      </w:r>
      <w:r w:rsidRPr="007B6815">
        <w:rPr>
          <w:spacing w:val="1"/>
        </w:rPr>
        <w:t xml:space="preserve"> </w:t>
      </w:r>
      <w:r>
        <w:t>open</w:t>
      </w:r>
      <w:r w:rsidRPr="007B6815">
        <w:rPr>
          <w:spacing w:val="-1"/>
        </w:rPr>
        <w:t xml:space="preserve"> </w:t>
      </w:r>
      <w:r>
        <w:t>their</w:t>
      </w:r>
      <w:r w:rsidRPr="007B6815">
        <w:rPr>
          <w:spacing w:val="-2"/>
        </w:rPr>
        <w:t xml:space="preserve"> </w:t>
      </w:r>
      <w:r>
        <w:t>systems</w:t>
      </w:r>
      <w:r w:rsidRPr="007B6815">
        <w:rPr>
          <w:spacing w:val="-3"/>
        </w:rPr>
        <w:t xml:space="preserve"> to communicate </w:t>
      </w:r>
      <w:r>
        <w:t>patient</w:t>
      </w:r>
      <w:r w:rsidRPr="007B6815">
        <w:rPr>
          <w:spacing w:val="-1"/>
        </w:rPr>
        <w:t xml:space="preserve"> </w:t>
      </w:r>
      <w:r>
        <w:t>information electronically.</w:t>
      </w:r>
    </w:p>
    <w:p w14:paraId="54FADBD5" w14:textId="4B530663" w:rsidR="00712390" w:rsidRDefault="009828D2" w:rsidP="006A30D8">
      <w:pPr>
        <w:pStyle w:val="ListParagraph"/>
        <w:numPr>
          <w:ilvl w:val="0"/>
          <w:numId w:val="24"/>
        </w:numPr>
        <w:tabs>
          <w:tab w:val="left" w:pos="1180"/>
          <w:tab w:val="left" w:pos="1181"/>
        </w:tabs>
        <w:spacing w:before="120"/>
        <w:ind w:hanging="280"/>
      </w:pPr>
      <w:r>
        <w:t>Data and documents should be able to be transferred in multiple formats and structures in</w:t>
      </w:r>
      <w:r w:rsidRPr="0071550E">
        <w:rPr>
          <w:spacing w:val="1"/>
        </w:rPr>
        <w:t xml:space="preserve"> </w:t>
      </w:r>
      <w:r>
        <w:t>order to be operable in the various application programming interfaces (APIs), rather than in the</w:t>
      </w:r>
      <w:r w:rsidRPr="0071550E">
        <w:rPr>
          <w:spacing w:val="-3"/>
        </w:rPr>
        <w:t xml:space="preserve"> </w:t>
      </w:r>
      <w:r>
        <w:t>prevailing</w:t>
      </w:r>
      <w:r w:rsidRPr="0071550E">
        <w:rPr>
          <w:spacing w:val="-2"/>
        </w:rPr>
        <w:t xml:space="preserve"> </w:t>
      </w:r>
      <w:r>
        <w:t>“PDF”</w:t>
      </w:r>
      <w:r w:rsidRPr="0071550E">
        <w:rPr>
          <w:spacing w:val="-2"/>
        </w:rPr>
        <w:t xml:space="preserve"> </w:t>
      </w:r>
      <w:r>
        <w:t>format,</w:t>
      </w:r>
      <w:r w:rsidRPr="0071550E">
        <w:rPr>
          <w:spacing w:val="-1"/>
        </w:rPr>
        <w:t xml:space="preserve"> </w:t>
      </w:r>
      <w:r>
        <w:t>to</w:t>
      </w:r>
      <w:r w:rsidRPr="0071550E">
        <w:rPr>
          <w:spacing w:val="-1"/>
        </w:rPr>
        <w:t xml:space="preserve"> </w:t>
      </w:r>
      <w:r>
        <w:t>allow</w:t>
      </w:r>
      <w:r w:rsidRPr="0071550E">
        <w:rPr>
          <w:spacing w:val="-2"/>
        </w:rPr>
        <w:t xml:space="preserve"> </w:t>
      </w:r>
      <w:r>
        <w:t>electronic</w:t>
      </w:r>
      <w:r w:rsidRPr="0071550E">
        <w:rPr>
          <w:spacing w:val="-2"/>
        </w:rPr>
        <w:t xml:space="preserve"> </w:t>
      </w:r>
      <w:r>
        <w:t>transfer</w:t>
      </w:r>
      <w:r w:rsidRPr="0071550E">
        <w:rPr>
          <w:spacing w:val="-2"/>
        </w:rPr>
        <w:t xml:space="preserve"> </w:t>
      </w:r>
      <w:r>
        <w:t>with</w:t>
      </w:r>
      <w:r w:rsidRPr="0071550E">
        <w:rPr>
          <w:spacing w:val="-1"/>
        </w:rPr>
        <w:t xml:space="preserve"> </w:t>
      </w:r>
      <w:r>
        <w:t>full</w:t>
      </w:r>
      <w:r w:rsidRPr="0071550E">
        <w:rPr>
          <w:spacing w:val="-2"/>
        </w:rPr>
        <w:t xml:space="preserve"> </w:t>
      </w:r>
      <w:r>
        <w:t>interoperability</w:t>
      </w:r>
      <w:r w:rsidRPr="0071550E">
        <w:rPr>
          <w:spacing w:val="-1"/>
        </w:rPr>
        <w:t xml:space="preserve"> </w:t>
      </w:r>
      <w:r>
        <w:t>and</w:t>
      </w:r>
      <w:r w:rsidRPr="0071550E">
        <w:rPr>
          <w:spacing w:val="-1"/>
        </w:rPr>
        <w:t xml:space="preserve"> </w:t>
      </w:r>
      <w:r>
        <w:t>use</w:t>
      </w:r>
      <w:r w:rsidRPr="0071550E">
        <w:rPr>
          <w:spacing w:val="-2"/>
        </w:rPr>
        <w:t xml:space="preserve"> of the </w:t>
      </w:r>
      <w:r>
        <w:t>underlying</w:t>
      </w:r>
      <w:r w:rsidRPr="0071550E">
        <w:rPr>
          <w:spacing w:val="-1"/>
        </w:rPr>
        <w:t xml:space="preserve"> </w:t>
      </w:r>
      <w:r>
        <w:t>data</w:t>
      </w:r>
      <w:r w:rsidRPr="0071550E">
        <w:rPr>
          <w:spacing w:val="-1"/>
        </w:rPr>
        <w:t xml:space="preserve"> </w:t>
      </w:r>
      <w:r>
        <w:t>elements.</w:t>
      </w:r>
    </w:p>
    <w:p w14:paraId="4B28E2C0" w14:textId="4069FC74" w:rsidR="00D25B0A" w:rsidRDefault="00D25B0A" w:rsidP="006A30D8">
      <w:pPr>
        <w:pStyle w:val="ListParagraph"/>
        <w:numPr>
          <w:ilvl w:val="0"/>
          <w:numId w:val="24"/>
        </w:numPr>
        <w:tabs>
          <w:tab w:val="left" w:pos="1180"/>
          <w:tab w:val="left" w:pos="1181"/>
        </w:tabs>
        <w:spacing w:before="120"/>
        <w:ind w:hanging="280"/>
      </w:pPr>
      <w:r>
        <w:rPr>
          <w:rStyle w:val="cf01"/>
          <w:rFonts w:ascii="Times New Roman" w:hAnsi="Times New Roman" w:cs="Times New Roman"/>
          <w:sz w:val="22"/>
          <w:szCs w:val="22"/>
        </w:rPr>
        <w:t>N</w:t>
      </w:r>
      <w:r w:rsidRPr="00800039">
        <w:rPr>
          <w:rStyle w:val="cf01"/>
          <w:rFonts w:ascii="Times New Roman" w:hAnsi="Times New Roman" w:cs="Times New Roman"/>
          <w:sz w:val="22"/>
          <w:szCs w:val="22"/>
        </w:rPr>
        <w:t>etworks, devices, and software supporting telehealth programs should have appropriate cybersecurity measures to protect against or prevent the disruption, alteration, or destruction of vital telehealth services or data.</w:t>
      </w:r>
    </w:p>
    <w:p w14:paraId="7589FDF3" w14:textId="0D1CEFAB" w:rsidR="00725EF2" w:rsidRDefault="006D54CA" w:rsidP="00030585">
      <w:pPr>
        <w:pStyle w:val="ListParagraph"/>
        <w:numPr>
          <w:ilvl w:val="0"/>
          <w:numId w:val="24"/>
        </w:numPr>
        <w:tabs>
          <w:tab w:val="left" w:pos="1180"/>
          <w:tab w:val="left" w:pos="1181"/>
        </w:tabs>
        <w:spacing w:before="120" w:after="120"/>
      </w:pPr>
      <w:r>
        <w:t xml:space="preserve">Providers should </w:t>
      </w:r>
      <w:r w:rsidR="00664BC2">
        <w:t xml:space="preserve">increase the number of </w:t>
      </w:r>
      <w:r>
        <w:t>centralized</w:t>
      </w:r>
      <w:r w:rsidRPr="00DE0238">
        <w:t xml:space="preserve"> </w:t>
      </w:r>
      <w:r>
        <w:t>telehealth</w:t>
      </w:r>
      <w:r w:rsidRPr="00DE0238">
        <w:t xml:space="preserve"> </w:t>
      </w:r>
      <w:r w:rsidR="00B4607B">
        <w:t>centers</w:t>
      </w:r>
      <w:r w:rsidRPr="00DE0238">
        <w:t>.</w:t>
      </w:r>
      <w:r>
        <w:t xml:space="preserve">  C</w:t>
      </w:r>
      <w:r w:rsidRPr="007173BC">
        <w:t>entralized telehealth center</w:t>
      </w:r>
      <w:r>
        <w:t xml:space="preserve">s </w:t>
      </w:r>
      <w:r w:rsidRPr="007173BC">
        <w:t>should practice a multidisciplinary team approach to coordinated patient care</w:t>
      </w:r>
      <w:r>
        <w:t>.</w:t>
      </w:r>
    </w:p>
    <w:p w14:paraId="0ECA42F0" w14:textId="2A232CD2" w:rsidR="00725EF2" w:rsidRDefault="00725EF2" w:rsidP="00030585">
      <w:pPr>
        <w:pStyle w:val="Heading2"/>
      </w:pPr>
      <w:bookmarkStart w:id="100" w:name="_bookmark21"/>
      <w:bookmarkStart w:id="101" w:name="_Toc114492084"/>
      <w:bookmarkStart w:id="102" w:name="_Toc115353781"/>
      <w:bookmarkEnd w:id="100"/>
      <w:r>
        <w:t>Recommendations on Integrating Telehealth into Emergency Planning</w:t>
      </w:r>
      <w:bookmarkEnd w:id="101"/>
      <w:bookmarkEnd w:id="102"/>
    </w:p>
    <w:p w14:paraId="6C8C845F" w14:textId="7CA4DD7C" w:rsidR="006A5672" w:rsidRDefault="006A5672" w:rsidP="006A5672">
      <w:pPr>
        <w:pStyle w:val="ListParagraph"/>
        <w:numPr>
          <w:ilvl w:val="0"/>
          <w:numId w:val="24"/>
        </w:numPr>
        <w:tabs>
          <w:tab w:val="left" w:pos="1180"/>
          <w:tab w:val="left" w:pos="1181"/>
        </w:tabs>
        <w:spacing w:before="120" w:after="120"/>
      </w:pPr>
      <w:r>
        <w:t xml:space="preserve">Incorporate telehealth services as an integral part of every emergency plan to help manage the surge in hospital </w:t>
      </w:r>
      <w:r w:rsidR="0002613B">
        <w:t xml:space="preserve">and doctor’s office </w:t>
      </w:r>
      <w:r>
        <w:t>visits that may result from a public health disaster.</w:t>
      </w:r>
    </w:p>
    <w:p w14:paraId="72A10E3D" w14:textId="5E6B3826" w:rsidR="00F13BD4" w:rsidRDefault="00F13BD4" w:rsidP="006A5672">
      <w:pPr>
        <w:pStyle w:val="ListParagraph"/>
        <w:numPr>
          <w:ilvl w:val="0"/>
          <w:numId w:val="24"/>
        </w:numPr>
        <w:tabs>
          <w:tab w:val="left" w:pos="1180"/>
          <w:tab w:val="left" w:pos="1181"/>
        </w:tabs>
        <w:spacing w:before="120" w:after="120"/>
      </w:pPr>
      <w:r>
        <w:t>Plan for effective</w:t>
      </w:r>
      <w:r w:rsidRPr="00365138">
        <w:t xml:space="preserve"> coordination of all the disaster management partners to maximize outcomes</w:t>
      </w:r>
      <w:r>
        <w:t xml:space="preserve">, including the </w:t>
      </w:r>
      <w:r w:rsidRPr="00365138">
        <w:t xml:space="preserve">medical support community </w:t>
      </w:r>
      <w:r>
        <w:t xml:space="preserve">and </w:t>
      </w:r>
      <w:r w:rsidRPr="00365138">
        <w:t>government</w:t>
      </w:r>
      <w:r>
        <w:t xml:space="preserve"> regulators.</w:t>
      </w:r>
    </w:p>
    <w:p w14:paraId="700A8D5A" w14:textId="1671B438" w:rsidR="00F13BD4" w:rsidRPr="00365138" w:rsidRDefault="00F13BD4" w:rsidP="00F13BD4">
      <w:pPr>
        <w:pStyle w:val="BodyText"/>
        <w:numPr>
          <w:ilvl w:val="0"/>
          <w:numId w:val="24"/>
        </w:numPr>
        <w:spacing w:before="120" w:after="120"/>
      </w:pPr>
      <w:r>
        <w:t>Plan for a flexible</w:t>
      </w:r>
      <w:r w:rsidRPr="00365138">
        <w:t xml:space="preserve"> telehealth system </w:t>
      </w:r>
      <w:r>
        <w:t>that can</w:t>
      </w:r>
      <w:r w:rsidRPr="00365138">
        <w:t xml:space="preserve"> integrate partners who were not part of the coordinated system that existed before the </w:t>
      </w:r>
      <w:r>
        <w:t>emergency</w:t>
      </w:r>
      <w:r w:rsidRPr="00365138">
        <w:t xml:space="preserve"> occurred.</w:t>
      </w:r>
    </w:p>
    <w:p w14:paraId="5255E7D7" w14:textId="63210B1C" w:rsidR="00F13BD4" w:rsidRDefault="008554C9" w:rsidP="006A5672">
      <w:pPr>
        <w:pStyle w:val="ListParagraph"/>
        <w:numPr>
          <w:ilvl w:val="0"/>
          <w:numId w:val="24"/>
        </w:numPr>
        <w:tabs>
          <w:tab w:val="left" w:pos="1180"/>
          <w:tab w:val="left" w:pos="1181"/>
        </w:tabs>
        <w:spacing w:before="120" w:after="120"/>
      </w:pPr>
      <w:r>
        <w:t>Plan</w:t>
      </w:r>
      <w:r w:rsidRPr="00365138">
        <w:rPr>
          <w:spacing w:val="-3"/>
        </w:rPr>
        <w:t xml:space="preserve"> </w:t>
      </w:r>
      <w:r w:rsidRPr="00365138">
        <w:t>to</w:t>
      </w:r>
      <w:r w:rsidRPr="00365138">
        <w:rPr>
          <w:spacing w:val="-1"/>
        </w:rPr>
        <w:t xml:space="preserve"> </w:t>
      </w:r>
      <w:r w:rsidRPr="00365138">
        <w:t>take</w:t>
      </w:r>
      <w:r w:rsidRPr="00365138">
        <w:rPr>
          <w:spacing w:val="-2"/>
        </w:rPr>
        <w:t xml:space="preserve"> </w:t>
      </w:r>
      <w:r w:rsidRPr="00365138">
        <w:t>advantage</w:t>
      </w:r>
      <w:r w:rsidRPr="00365138">
        <w:rPr>
          <w:spacing w:val="-2"/>
        </w:rPr>
        <w:t xml:space="preserve"> </w:t>
      </w:r>
      <w:r w:rsidRPr="00365138">
        <w:t>of</w:t>
      </w:r>
      <w:r w:rsidRPr="00365138">
        <w:rPr>
          <w:spacing w:val="-3"/>
        </w:rPr>
        <w:t xml:space="preserve"> </w:t>
      </w:r>
      <w:r w:rsidRPr="00365138">
        <w:t>the</w:t>
      </w:r>
      <w:r w:rsidRPr="00365138">
        <w:rPr>
          <w:spacing w:val="-2"/>
        </w:rPr>
        <w:t xml:space="preserve"> </w:t>
      </w:r>
      <w:r w:rsidRPr="00365138">
        <w:t>wide</w:t>
      </w:r>
      <w:r w:rsidRPr="00365138">
        <w:rPr>
          <w:spacing w:val="-2"/>
        </w:rPr>
        <w:t xml:space="preserve"> </w:t>
      </w:r>
      <w:r w:rsidRPr="00365138">
        <w:t>array of technical and medical advancements for</w:t>
      </w:r>
      <w:r w:rsidRPr="00365138">
        <w:rPr>
          <w:spacing w:val="1"/>
        </w:rPr>
        <w:t xml:space="preserve"> the </w:t>
      </w:r>
      <w:r w:rsidRPr="00365138">
        <w:t xml:space="preserve">better provision of </w:t>
      </w:r>
      <w:r>
        <w:t>telehealth care</w:t>
      </w:r>
      <w:r w:rsidRPr="00365138">
        <w:t xml:space="preserve"> during a public health </w:t>
      </w:r>
      <w:r>
        <w:t>emergency</w:t>
      </w:r>
      <w:r w:rsidRPr="00365138">
        <w:t>, such as the COVID-19 pandemic.</w:t>
      </w:r>
    </w:p>
    <w:p w14:paraId="3F7FE620" w14:textId="5AB807AD" w:rsidR="00A637D5" w:rsidRPr="00365138" w:rsidRDefault="00A637D5" w:rsidP="00A637D5">
      <w:pPr>
        <w:pStyle w:val="ListParagraph"/>
        <w:numPr>
          <w:ilvl w:val="0"/>
          <w:numId w:val="24"/>
        </w:numPr>
        <w:spacing w:before="120" w:after="120"/>
      </w:pPr>
      <w:r>
        <w:t>A</w:t>
      </w:r>
      <w:r w:rsidRPr="00365138">
        <w:t xml:space="preserve">ll </w:t>
      </w:r>
      <w:r>
        <w:t>emergency</w:t>
      </w:r>
      <w:r w:rsidRPr="00365138">
        <w:t xml:space="preserve"> response partners, including government agencies</w:t>
      </w:r>
      <w:r>
        <w:t xml:space="preserve"> </w:t>
      </w:r>
      <w:r w:rsidRPr="00365138">
        <w:t xml:space="preserve">and </w:t>
      </w:r>
      <w:r>
        <w:t>healthcare providers</w:t>
      </w:r>
      <w:r w:rsidRPr="00365138">
        <w:t>, should provide information</w:t>
      </w:r>
      <w:r>
        <w:t xml:space="preserve"> to communities</w:t>
      </w:r>
      <w:r w:rsidRPr="00365138">
        <w:t xml:space="preserve"> relating to access to telehealth.  For example, telehealth hotlines and websites could provide information and guidance to communities on the need to work with their doctors on</w:t>
      </w:r>
      <w:r w:rsidR="00BA7DAD">
        <w:t>:</w:t>
      </w:r>
      <w:r w:rsidRPr="00365138">
        <w:t xml:space="preserve"> 1) how to access their doctors’ telehealth services; 2) how to maintain health and wellness between telehealth visits; 3) how to update or access prescription medication if the doctor’s office is closed or inaccessible; 4) how to prepare an emergency supply of prescriptions and medical supplies; and 5)  how to collect and ready important medical </w:t>
      </w:r>
      <w:r w:rsidRPr="00365138">
        <w:lastRenderedPageBreak/>
        <w:t xml:space="preserve">records and documents for telehealth visits.  In turn, doctors’ offices and other healthcare providers should also be prepared to communicate this telehealth information to their patients </w:t>
      </w:r>
      <w:r w:rsidR="00C8632B">
        <w:t>with and without disabilities</w:t>
      </w:r>
      <w:r w:rsidR="00C8632B" w:rsidRPr="00365138">
        <w:t xml:space="preserve"> </w:t>
      </w:r>
      <w:r w:rsidRPr="00365138">
        <w:t>via letters, emails, texts, websites and more.</w:t>
      </w:r>
    </w:p>
    <w:p w14:paraId="1B245248" w14:textId="4DFD4D22" w:rsidR="00D258D1" w:rsidRPr="004D2F0C" w:rsidRDefault="00D258D1" w:rsidP="00D258D1">
      <w:pPr>
        <w:pStyle w:val="ListParagraph"/>
        <w:numPr>
          <w:ilvl w:val="0"/>
          <w:numId w:val="24"/>
        </w:numPr>
        <w:spacing w:before="120" w:after="120"/>
        <w:rPr>
          <w:shd w:val="clear" w:color="auto" w:fill="FFFFFF"/>
        </w:rPr>
      </w:pPr>
      <w:r w:rsidRPr="00365138">
        <w:t xml:space="preserve">Telehealth-integrated </w:t>
      </w:r>
      <w:r>
        <w:t>emergency</w:t>
      </w:r>
      <w:r w:rsidRPr="00365138">
        <w:t xml:space="preserve"> response partners should study </w:t>
      </w:r>
      <w:r>
        <w:t xml:space="preserve">the novel </w:t>
      </w:r>
      <w:r w:rsidRPr="00365138">
        <w:t>issues</w:t>
      </w:r>
      <w:r>
        <w:t xml:space="preserve"> of the coronavirus pandemic</w:t>
      </w:r>
      <w:r w:rsidRPr="00365138">
        <w:t xml:space="preserve"> and develop coordinated plans to address such issues in the future</w:t>
      </w:r>
      <w:r>
        <w:t>.  For example</w:t>
      </w:r>
      <w:r w:rsidR="002927DE">
        <w:t xml:space="preserve">, </w:t>
      </w:r>
      <w:r>
        <w:t xml:space="preserve">emergency </w:t>
      </w:r>
      <w:r w:rsidR="002927DE">
        <w:t>plans should consider options for alternate care, such as telehealth care, if provider offices are closed due to local regulations or are simply overrun with patients</w:t>
      </w:r>
      <w:r w:rsidR="006364B7">
        <w:t>, or are not accepting</w:t>
      </w:r>
      <w:r w:rsidR="002927DE">
        <w:t xml:space="preserve"> patients</w:t>
      </w:r>
      <w:r w:rsidRPr="00365138">
        <w:t xml:space="preserve"> </w:t>
      </w:r>
      <w:r w:rsidR="006364B7">
        <w:t>with</w:t>
      </w:r>
      <w:r w:rsidRPr="00365138">
        <w:t xml:space="preserve"> </w:t>
      </w:r>
      <w:r w:rsidR="003352BD">
        <w:t xml:space="preserve">disease, </w:t>
      </w:r>
      <w:r w:rsidRPr="00365138">
        <w:t xml:space="preserve">or </w:t>
      </w:r>
      <w:r w:rsidR="006364B7">
        <w:t xml:space="preserve">those who </w:t>
      </w:r>
      <w:r w:rsidRPr="00365138">
        <w:t xml:space="preserve">test positive for </w:t>
      </w:r>
      <w:r w:rsidR="003352BD">
        <w:t>disease</w:t>
      </w:r>
      <w:r w:rsidRPr="00365138">
        <w:t>.</w:t>
      </w:r>
    </w:p>
    <w:p w14:paraId="2459A26F" w14:textId="0984F755" w:rsidR="00E128F6" w:rsidRDefault="004D2F0C" w:rsidP="005A5AED">
      <w:pPr>
        <w:pStyle w:val="ListParagraph"/>
        <w:numPr>
          <w:ilvl w:val="0"/>
          <w:numId w:val="24"/>
        </w:numPr>
        <w:tabs>
          <w:tab w:val="left" w:pos="1180"/>
          <w:tab w:val="left" w:pos="1181"/>
        </w:tabs>
        <w:spacing w:before="120"/>
      </w:pPr>
      <w:r w:rsidRPr="00E306CD">
        <w:t xml:space="preserve">State boards </w:t>
      </w:r>
      <w:r>
        <w:t>should change policies and other licensing requirements for medical professionals to recognize</w:t>
      </w:r>
      <w:r w:rsidRPr="00E306CD">
        <w:t xml:space="preserve"> other state licens</w:t>
      </w:r>
      <w:r>
        <w:t>es in order</w:t>
      </w:r>
      <w:r w:rsidRPr="00E306CD">
        <w:t xml:space="preserve"> to eliminate geographic boundaries</w:t>
      </w:r>
      <w:r>
        <w:t xml:space="preserve"> for telehealth, especially during emergencies</w:t>
      </w:r>
      <w:r w:rsidRPr="00E306CD">
        <w:t>.</w:t>
      </w:r>
    </w:p>
    <w:p w14:paraId="0D982F40" w14:textId="77777777" w:rsidR="00EA05A0" w:rsidRPr="005F24B7" w:rsidRDefault="00EA05A0" w:rsidP="00BA7B7F">
      <w:pPr>
        <w:tabs>
          <w:tab w:val="left" w:pos="720"/>
        </w:tabs>
        <w:spacing w:before="120"/>
        <w:jc w:val="both"/>
        <w:rPr>
          <w:bCs/>
        </w:rPr>
      </w:pPr>
      <w:bookmarkStart w:id="103" w:name="_bookmark22"/>
      <w:bookmarkEnd w:id="103"/>
    </w:p>
    <w:sectPr w:rsidR="00EA05A0" w:rsidRPr="005F24B7" w:rsidSect="002B4775">
      <w:footerReference w:type="default" r:id="rId17"/>
      <w:pgSz w:w="12240" w:h="15840" w:code="1"/>
      <w:pgMar w:top="1440" w:right="1440" w:bottom="1440" w:left="1440" w:header="0" w:footer="102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D47E8" w14:textId="77777777" w:rsidR="009E420F" w:rsidRDefault="009E420F">
      <w:r>
        <w:separator/>
      </w:r>
    </w:p>
  </w:endnote>
  <w:endnote w:type="continuationSeparator" w:id="0">
    <w:p w14:paraId="3A978F76" w14:textId="77777777" w:rsidR="009E420F" w:rsidRDefault="009E420F">
      <w:r>
        <w:continuationSeparator/>
      </w:r>
    </w:p>
  </w:endnote>
  <w:endnote w:type="continuationNotice" w:id="1">
    <w:p w14:paraId="15353297" w14:textId="77777777" w:rsidR="009E420F" w:rsidRDefault="009E42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4659835"/>
      <w:docPartObj>
        <w:docPartGallery w:val="Page Numbers (Bottom of Page)"/>
        <w:docPartUnique/>
      </w:docPartObj>
    </w:sdtPr>
    <w:sdtEndPr>
      <w:rPr>
        <w:noProof/>
        <w:sz w:val="20"/>
        <w:szCs w:val="20"/>
      </w:rPr>
    </w:sdtEndPr>
    <w:sdtContent>
      <w:p w14:paraId="5A62E0C7" w14:textId="71D911A1" w:rsidR="009958F9" w:rsidRPr="00582E94" w:rsidRDefault="009958F9" w:rsidP="00582E94">
        <w:pPr>
          <w:pStyle w:val="Footer"/>
          <w:jc w:val="center"/>
          <w:rPr>
            <w:sz w:val="20"/>
          </w:rPr>
        </w:pPr>
        <w:r w:rsidRPr="00582E94">
          <w:rPr>
            <w:sz w:val="20"/>
          </w:rPr>
          <w:t xml:space="preserve">Page | </w:t>
        </w:r>
        <w:r w:rsidRPr="00582E94">
          <w:rPr>
            <w:sz w:val="20"/>
          </w:rPr>
          <w:fldChar w:fldCharType="begin"/>
        </w:r>
        <w:r w:rsidRPr="00582E94">
          <w:rPr>
            <w:sz w:val="20"/>
          </w:rPr>
          <w:instrText xml:space="preserve"> PAGE   \* MERGEFORMAT </w:instrText>
        </w:r>
        <w:r w:rsidRPr="00582E94">
          <w:rPr>
            <w:sz w:val="20"/>
          </w:rPr>
          <w:fldChar w:fldCharType="separate"/>
        </w:r>
        <w:r w:rsidRPr="00582E94">
          <w:rPr>
            <w:sz w:val="20"/>
          </w:rPr>
          <w:t>2</w:t>
        </w:r>
        <w:r w:rsidRPr="00582E94">
          <w:rPr>
            <w:sz w:val="20"/>
          </w:rPr>
          <w:fldChar w:fldCharType="end"/>
        </w:r>
      </w:p>
    </w:sdtContent>
  </w:sdt>
  <w:p w14:paraId="736EB534" w14:textId="5016B21E" w:rsidR="009958F9" w:rsidRDefault="009958F9">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0E82B" w14:textId="77777777" w:rsidR="009E420F" w:rsidRDefault="009E420F">
      <w:r>
        <w:separator/>
      </w:r>
    </w:p>
  </w:footnote>
  <w:footnote w:type="continuationSeparator" w:id="0">
    <w:p w14:paraId="0A91B08A" w14:textId="77777777" w:rsidR="009E420F" w:rsidRDefault="009E420F">
      <w:r>
        <w:continuationSeparator/>
      </w:r>
    </w:p>
  </w:footnote>
  <w:footnote w:type="continuationNotice" w:id="1">
    <w:p w14:paraId="1639FCA1" w14:textId="77777777" w:rsidR="009E420F" w:rsidRPr="009A51DA" w:rsidRDefault="009E420F">
      <w:pPr>
        <w:rPr>
          <w:sz w:val="20"/>
          <w:szCs w:val="20"/>
        </w:rPr>
      </w:pPr>
      <w:r w:rsidRPr="009A51DA">
        <w:rPr>
          <w:sz w:val="20"/>
          <w:szCs w:val="20"/>
        </w:rPr>
        <w:t>(continued …)</w:t>
      </w:r>
    </w:p>
  </w:footnote>
  <w:footnote w:id="2">
    <w:p w14:paraId="625BDFAF" w14:textId="73BF8EB4" w:rsidR="009958F9" w:rsidRDefault="009958F9" w:rsidP="009B1CB5">
      <w:pPr>
        <w:pStyle w:val="FootnoteText"/>
      </w:pPr>
      <w:r>
        <w:rPr>
          <w:rStyle w:val="FootnoteReference"/>
        </w:rPr>
        <w:footnoteRef/>
      </w:r>
      <w:r>
        <w:t xml:space="preserve"> </w:t>
      </w:r>
      <w:r w:rsidRPr="00805584">
        <w:rPr>
          <w:i/>
          <w:iCs/>
        </w:rPr>
        <w:t>See</w:t>
      </w:r>
      <w:r>
        <w:t xml:space="preserve"> FCC.gov</w:t>
      </w:r>
      <w:r w:rsidR="000C0C80">
        <w:t>,</w:t>
      </w:r>
      <w:r>
        <w:t xml:space="preserve"> </w:t>
      </w:r>
      <w:r w:rsidRPr="00805584">
        <w:rPr>
          <w:i/>
          <w:iCs/>
        </w:rPr>
        <w:t>Intergovernmental Advisory Recommendations No: 2019-2: In the Matter of State, Local Tribal, and Territorial Regulatory and Other Barriers and Incentives to Telemedicine</w:t>
      </w:r>
      <w:r>
        <w:rPr>
          <w:i/>
          <w:iCs/>
        </w:rPr>
        <w:t xml:space="preserve"> </w:t>
      </w:r>
      <w:r w:rsidRPr="00805584">
        <w:t>(</w:t>
      </w:r>
      <w:r w:rsidR="003B55E1">
        <w:t xml:space="preserve">Nov. 7, </w:t>
      </w:r>
      <w:r w:rsidRPr="00805584">
        <w:t>2019),</w:t>
      </w:r>
      <w:r>
        <w:t xml:space="preserve"> </w:t>
      </w:r>
      <w:hyperlink r:id="rId1" w:history="1">
        <w:r w:rsidRPr="000F1074">
          <w:rPr>
            <w:rStyle w:val="Hyperlink"/>
            <w:shd w:val="clear" w:color="auto" w:fill="FFFFFF"/>
          </w:rPr>
          <w:t>https://docs.fcc.gov/public/attachments/DOC-360696A5.pdf</w:t>
        </w:r>
      </w:hyperlink>
      <w:r>
        <w:rPr>
          <w:shd w:val="clear" w:color="auto" w:fill="FFFFFF"/>
        </w:rPr>
        <w:t>.</w:t>
      </w:r>
    </w:p>
  </w:footnote>
  <w:footnote w:id="3">
    <w:p w14:paraId="0B27ABC4" w14:textId="730B062E" w:rsidR="009958F9" w:rsidRPr="003922DD" w:rsidRDefault="009958F9" w:rsidP="00B35180">
      <w:pPr>
        <w:pStyle w:val="FootnoteText"/>
        <w:spacing w:before="120" w:after="120"/>
      </w:pPr>
      <w:r w:rsidRPr="003922DD">
        <w:rPr>
          <w:rStyle w:val="FootnoteReference"/>
        </w:rPr>
        <w:footnoteRef/>
      </w:r>
      <w:r w:rsidRPr="003922DD">
        <w:t xml:space="preserve"> </w:t>
      </w:r>
      <w:r w:rsidR="00B01896" w:rsidRPr="003922DD">
        <w:rPr>
          <w:i/>
          <w:iCs/>
        </w:rPr>
        <w:t>See</w:t>
      </w:r>
      <w:r w:rsidR="00B01896" w:rsidRPr="003922DD">
        <w:t xml:space="preserve"> </w:t>
      </w:r>
      <w:r w:rsidR="00B01896" w:rsidRPr="00661C31">
        <w:t>Promoting Telehealth for Low-Income Consumers COVID-19 Telehealth Program</w:t>
      </w:r>
      <w:r w:rsidR="00B01896" w:rsidRPr="003922DD">
        <w:t xml:space="preserve">, Report and Order, </w:t>
      </w:r>
      <w:r w:rsidR="00B01896" w:rsidRPr="003922DD">
        <w:rPr>
          <w:shd w:val="clear" w:color="auto" w:fill="FFFFFF"/>
        </w:rPr>
        <w:t>35 FCC Rcd 3366, 33</w:t>
      </w:r>
      <w:r w:rsidR="00B01896">
        <w:rPr>
          <w:shd w:val="clear" w:color="auto" w:fill="FFFFFF"/>
        </w:rPr>
        <w:t>75</w:t>
      </w:r>
      <w:r w:rsidR="00B01896" w:rsidRPr="003922DD">
        <w:rPr>
          <w:shd w:val="clear" w:color="auto" w:fill="FFFFFF"/>
        </w:rPr>
        <w:t xml:space="preserve"> (2020) (</w:t>
      </w:r>
      <w:r w:rsidR="00B01896" w:rsidRPr="003922DD">
        <w:rPr>
          <w:i/>
          <w:iCs/>
          <w:shd w:val="clear" w:color="auto" w:fill="FFFFFF"/>
        </w:rPr>
        <w:t>COVID-19 Telehealth Program Order</w:t>
      </w:r>
      <w:r w:rsidR="00B01896" w:rsidRPr="003922DD">
        <w:rPr>
          <w:shd w:val="clear" w:color="auto" w:fill="FFFFFF"/>
        </w:rPr>
        <w:t>).</w:t>
      </w:r>
    </w:p>
  </w:footnote>
  <w:footnote w:id="4">
    <w:p w14:paraId="0BF52492" w14:textId="27D26FA8" w:rsidR="009958F9" w:rsidRPr="009A51DA" w:rsidRDefault="009958F9" w:rsidP="00B35180">
      <w:pPr>
        <w:pStyle w:val="FootnoteText"/>
        <w:spacing w:before="120" w:after="120"/>
      </w:pPr>
      <w:r w:rsidRPr="006B3F84">
        <w:rPr>
          <w:rStyle w:val="FootnoteReference"/>
        </w:rPr>
        <w:footnoteRef/>
      </w:r>
      <w:r w:rsidRPr="006B3F84">
        <w:t xml:space="preserve"> </w:t>
      </w:r>
      <w:r w:rsidRPr="006B3F84">
        <w:rPr>
          <w:i/>
          <w:iCs/>
        </w:rPr>
        <w:t xml:space="preserve">See </w:t>
      </w:r>
      <w:r w:rsidRPr="006B3F84">
        <w:t xml:space="preserve">Center for Connected Health Policy, </w:t>
      </w:r>
      <w:r w:rsidRPr="006B3F84">
        <w:rPr>
          <w:i/>
          <w:iCs/>
        </w:rPr>
        <w:t>The Latest in Telehealth Research: Studies Show How Telehealth can Increase Equitable Access to Care</w:t>
      </w:r>
      <w:r w:rsidRPr="006B3F84">
        <w:t xml:space="preserve">, (May 24, 2022), </w:t>
      </w:r>
      <w:hyperlink r:id="rId2" w:history="1">
        <w:r w:rsidRPr="000F1074">
          <w:rPr>
            <w:rStyle w:val="Hyperlink"/>
          </w:rPr>
          <w:t>https://mailchi.mp/cchpca/the-latest-telehealth-research-studies-show-how-telehealth-can-increase-equitable-access-to-care</w:t>
        </w:r>
      </w:hyperlink>
      <w:r w:rsidRPr="006B3F84" w:rsidDel="009921EB">
        <w:rPr>
          <w:i/>
          <w:iCs/>
        </w:rPr>
        <w:t xml:space="preserve"> </w:t>
      </w:r>
      <w:r w:rsidRPr="006B3F84">
        <w:t xml:space="preserve">(for purposes of this report, the IAC uses the terms “telehealth” and “telemedicine” as adopted by the FCC. </w:t>
      </w:r>
      <w:r w:rsidRPr="006B3F84">
        <w:rPr>
          <w:i/>
          <w:iCs/>
        </w:rPr>
        <w:t xml:space="preserve">See </w:t>
      </w:r>
      <w:r w:rsidRPr="005A6FFB">
        <w:t>Rural Healthcare Support Mechanism</w:t>
      </w:r>
      <w:r w:rsidRPr="006B3F84">
        <w:t xml:space="preserve">, Report and Order, 27 FCC Rcd 16678, </w:t>
      </w:r>
      <w:r>
        <w:t>n.</w:t>
      </w:r>
      <w:r w:rsidRPr="006B3F84">
        <w:t xml:space="preserve"> 42 (2019) (“</w:t>
      </w:r>
      <w:r w:rsidR="00556500">
        <w:rPr>
          <w:shd w:val="clear" w:color="auto" w:fill="FFFFFF"/>
        </w:rPr>
        <w:t>[T]</w:t>
      </w:r>
      <w:r w:rsidRPr="006B3F84">
        <w:rPr>
          <w:shd w:val="clear" w:color="auto" w:fill="FFFFFF"/>
        </w:rPr>
        <w:t xml:space="preserve">he term “telehealth” included non-clinical practices such as continuing medical education as </w:t>
      </w:r>
      <w:r w:rsidRPr="009A51DA">
        <w:rPr>
          <w:shd w:val="clear" w:color="auto" w:fill="FFFFFF"/>
        </w:rPr>
        <w:t>well as e-care, which was defined as the “electronic exchange of information—data, images and video—to aid in the practice of medicine, advanced analytics.” It encompasses technologies that enable video consultation, remote monitoring and image transmission (store-and-forward) over fixed or mobile networks … Although related to telehealth, telemedicine is usually more narrowly defined. The Centers for Medicare and Medicaid Services (CMS) define “telemedicine” as “two-way, real time interactive communication between the patient, and the physician or practitioner at the distant site.” … The American Telemedicine Association defines “telemedicine” as “the use of medical information exchanged from one site to another via electronic communications to improve patients' health status.”</w:t>
      </w:r>
      <w:r w:rsidRPr="009A51DA">
        <w:t>”).</w:t>
      </w:r>
    </w:p>
  </w:footnote>
  <w:footnote w:id="5">
    <w:p w14:paraId="7D0DED89" w14:textId="38252EED" w:rsidR="009958F9" w:rsidRPr="00FE09CA" w:rsidRDefault="009958F9" w:rsidP="00BA1F35">
      <w:pPr>
        <w:pStyle w:val="FootnoteText"/>
        <w:spacing w:before="120" w:after="120"/>
      </w:pPr>
      <w:r w:rsidRPr="004D6C30">
        <w:rPr>
          <w:rStyle w:val="FootnoteReference"/>
        </w:rPr>
        <w:footnoteRef/>
      </w:r>
      <w:r w:rsidRPr="004D6C30">
        <w:t xml:space="preserve"> </w:t>
      </w:r>
      <w:r w:rsidRPr="004D6C30">
        <w:rPr>
          <w:i/>
          <w:iCs/>
        </w:rPr>
        <w:t>See</w:t>
      </w:r>
      <w:r w:rsidRPr="004D6C30">
        <w:t xml:space="preserve"> Who.int, </w:t>
      </w:r>
      <w:r w:rsidRPr="004D6C30">
        <w:rPr>
          <w:i/>
          <w:iCs/>
        </w:rPr>
        <w:t>Coronavirus Disease (COVID-19)</w:t>
      </w:r>
      <w:r w:rsidRPr="004D6C30">
        <w:t xml:space="preserve">, </w:t>
      </w:r>
      <w:hyperlink r:id="rId3" w:history="1">
        <w:r w:rsidRPr="000F1074">
          <w:rPr>
            <w:rStyle w:val="Hyperlink"/>
          </w:rPr>
          <w:t>https://www.who.int/health-topics/coronavirus</w:t>
        </w:r>
      </w:hyperlink>
      <w:r w:rsidRPr="004D6C30">
        <w:t xml:space="preserve"> (last visited Sept. 14, 2022)</w:t>
      </w:r>
    </w:p>
  </w:footnote>
  <w:footnote w:id="6">
    <w:p w14:paraId="1A5E90A4" w14:textId="77777777" w:rsidR="009958F9" w:rsidRPr="009A51DA" w:rsidRDefault="009958F9" w:rsidP="00BA1F35">
      <w:pPr>
        <w:pStyle w:val="FootnoteText"/>
        <w:spacing w:before="120" w:after="120"/>
      </w:pPr>
      <w:r w:rsidRPr="00FE09CA">
        <w:rPr>
          <w:rStyle w:val="FootnoteReference"/>
        </w:rPr>
        <w:footnoteRef/>
      </w:r>
      <w:r w:rsidRPr="00FE09CA">
        <w:t xml:space="preserve"> </w:t>
      </w:r>
      <w:r w:rsidRPr="00FE09CA">
        <w:rPr>
          <w:i/>
          <w:iCs/>
        </w:rPr>
        <w:t>Id.</w:t>
      </w:r>
    </w:p>
  </w:footnote>
  <w:footnote w:id="7">
    <w:p w14:paraId="38DF9E66" w14:textId="71389A61" w:rsidR="009958F9" w:rsidRPr="003E54BC" w:rsidRDefault="009958F9" w:rsidP="00BA1F35">
      <w:pPr>
        <w:pStyle w:val="FootnoteText"/>
        <w:spacing w:before="120" w:after="120"/>
      </w:pPr>
      <w:r w:rsidRPr="003922DD">
        <w:rPr>
          <w:rStyle w:val="FootnoteReference"/>
        </w:rPr>
        <w:footnoteRef/>
      </w:r>
      <w:r w:rsidRPr="003922DD">
        <w:t xml:space="preserve"> </w:t>
      </w:r>
      <w:r w:rsidRPr="000E1DF1">
        <w:rPr>
          <w:i/>
          <w:iCs/>
        </w:rPr>
        <w:t>See also</w:t>
      </w:r>
      <w:r w:rsidRPr="003922DD">
        <w:t xml:space="preserve"> CDC.gov for updated guidance to the public on staying safe during the COVID-19 pandemic.</w:t>
      </w:r>
    </w:p>
  </w:footnote>
  <w:footnote w:id="8">
    <w:p w14:paraId="75CC7915" w14:textId="4848B8BC" w:rsidR="009958F9" w:rsidRPr="003922DD" w:rsidRDefault="009958F9" w:rsidP="00BA1F35">
      <w:pPr>
        <w:pStyle w:val="FootnoteText"/>
        <w:spacing w:before="120" w:after="120"/>
      </w:pPr>
      <w:r w:rsidRPr="003922DD">
        <w:rPr>
          <w:rStyle w:val="FootnoteReference"/>
        </w:rPr>
        <w:footnoteRef/>
      </w:r>
      <w:r w:rsidRPr="00582E94">
        <w:rPr>
          <w:i/>
        </w:rPr>
        <w:t xml:space="preserve"> </w:t>
      </w:r>
      <w:r w:rsidR="00450408" w:rsidRPr="00450408">
        <w:rPr>
          <w:i/>
          <w:iCs/>
        </w:rPr>
        <w:t>See</w:t>
      </w:r>
      <w:r w:rsidR="00450408">
        <w:t xml:space="preserve"> </w:t>
      </w:r>
      <w:r w:rsidRPr="00582E94">
        <w:rPr>
          <w:i/>
          <w:shd w:val="clear" w:color="auto" w:fill="FFFFFF"/>
        </w:rPr>
        <w:t>COVID-19 Telehealth Program Order</w:t>
      </w:r>
      <w:r w:rsidR="00556500" w:rsidRPr="00582E94">
        <w:rPr>
          <w:shd w:val="clear" w:color="auto" w:fill="FFFFFF"/>
        </w:rPr>
        <w:t xml:space="preserve">, </w:t>
      </w:r>
      <w:r w:rsidR="00556500" w:rsidRPr="003922DD">
        <w:rPr>
          <w:shd w:val="clear" w:color="auto" w:fill="FFFFFF"/>
        </w:rPr>
        <w:t>35 FCC Rcd</w:t>
      </w:r>
      <w:r w:rsidR="00556500">
        <w:rPr>
          <w:shd w:val="clear" w:color="auto" w:fill="FFFFFF"/>
        </w:rPr>
        <w:t xml:space="preserve"> at 3367</w:t>
      </w:r>
      <w:r w:rsidR="00021409">
        <w:rPr>
          <w:shd w:val="clear" w:color="auto" w:fill="FFFFFF"/>
        </w:rPr>
        <w:t>, para. 1</w:t>
      </w:r>
      <w:r w:rsidRPr="003922DD">
        <w:rPr>
          <w:shd w:val="clear" w:color="auto" w:fill="FFFFFF"/>
        </w:rPr>
        <w:t>.</w:t>
      </w:r>
    </w:p>
  </w:footnote>
  <w:footnote w:id="9">
    <w:p w14:paraId="6175A01D" w14:textId="362BA36D" w:rsidR="000A4DE4" w:rsidRPr="003922DD" w:rsidRDefault="000A4DE4" w:rsidP="000A4DE4">
      <w:pPr>
        <w:pStyle w:val="FootnoteText"/>
        <w:spacing w:before="120" w:after="120"/>
      </w:pPr>
      <w:r w:rsidRPr="003922DD">
        <w:rPr>
          <w:rStyle w:val="FootnoteReference"/>
        </w:rPr>
        <w:footnoteRef/>
      </w:r>
      <w:r w:rsidRPr="003922DD">
        <w:t xml:space="preserve"> </w:t>
      </w:r>
      <w:r w:rsidRPr="003922DD">
        <w:rPr>
          <w:i/>
          <w:iCs/>
        </w:rPr>
        <w:t>See</w:t>
      </w:r>
      <w:r w:rsidRPr="003922DD">
        <w:t xml:space="preserve"> Atee Mehrotra, et al., </w:t>
      </w:r>
      <w:r w:rsidRPr="003922DD">
        <w:rPr>
          <w:i/>
          <w:iCs/>
        </w:rPr>
        <w:t>The Impact of the COVID-19 Pandemic on Outpatient Visits: A Rebound Emerges</w:t>
      </w:r>
      <w:r w:rsidRPr="003922DD">
        <w:t>, (</w:t>
      </w:r>
      <w:r w:rsidR="009F1ED8">
        <w:t xml:space="preserve">May 19, </w:t>
      </w:r>
      <w:r w:rsidRPr="003922DD">
        <w:t xml:space="preserve">2020), </w:t>
      </w:r>
      <w:hyperlink r:id="rId4" w:history="1">
        <w:r w:rsidRPr="000F1074">
          <w:rPr>
            <w:rStyle w:val="Hyperlink"/>
          </w:rPr>
          <w:t>https://www.commonwealthfund.org/publications/2020/apr/impact-covid-19-outpatient-visits</w:t>
        </w:r>
      </w:hyperlink>
      <w:r>
        <w:t>.</w:t>
      </w:r>
    </w:p>
  </w:footnote>
  <w:footnote w:id="10">
    <w:p w14:paraId="0B85ED64" w14:textId="317A0884" w:rsidR="009958F9" w:rsidRPr="003922DD" w:rsidRDefault="009958F9" w:rsidP="00BA1F35">
      <w:pPr>
        <w:pStyle w:val="FootnoteText"/>
        <w:spacing w:before="120" w:after="120"/>
      </w:pPr>
      <w:r w:rsidRPr="003922DD">
        <w:rPr>
          <w:rStyle w:val="FootnoteReference"/>
        </w:rPr>
        <w:footnoteRef/>
      </w:r>
      <w:r w:rsidRPr="003922DD">
        <w:t xml:space="preserve"> </w:t>
      </w:r>
      <w:r w:rsidRPr="005A6FFB">
        <w:rPr>
          <w:i/>
          <w:iCs/>
        </w:rPr>
        <w:t>See</w:t>
      </w:r>
      <w:r w:rsidRPr="003922DD">
        <w:t xml:space="preserve"> </w:t>
      </w:r>
      <w:r w:rsidRPr="003922DD">
        <w:rPr>
          <w:i/>
          <w:iCs/>
        </w:rPr>
        <w:t>COVID-19 Telehealth Program Order</w:t>
      </w:r>
      <w:r w:rsidRPr="003922DD">
        <w:t xml:space="preserve">, </w:t>
      </w:r>
      <w:r w:rsidRPr="003922DD">
        <w:rPr>
          <w:shd w:val="clear" w:color="auto" w:fill="FFFFFF"/>
        </w:rPr>
        <w:t>35 FCC Rcd. at 3367</w:t>
      </w:r>
      <w:r w:rsidR="0050638C">
        <w:rPr>
          <w:shd w:val="clear" w:color="auto" w:fill="FFFFFF"/>
        </w:rPr>
        <w:t>, para. 1</w:t>
      </w:r>
      <w:r w:rsidRPr="003922DD">
        <w:rPr>
          <w:shd w:val="clear" w:color="auto" w:fill="FFFFFF"/>
        </w:rPr>
        <w:t>.</w:t>
      </w:r>
    </w:p>
  </w:footnote>
  <w:footnote w:id="11">
    <w:p w14:paraId="47302DEB" w14:textId="37B157A3" w:rsidR="00F506B8" w:rsidRDefault="00F506B8" w:rsidP="00F506B8">
      <w:pPr>
        <w:pStyle w:val="FootnoteText"/>
      </w:pPr>
      <w:r>
        <w:rPr>
          <w:rStyle w:val="FootnoteReference"/>
        </w:rPr>
        <w:footnoteRef/>
      </w:r>
      <w:r>
        <w:t xml:space="preserve"> T</w:t>
      </w:r>
      <w:r w:rsidRPr="00745998">
        <w:t xml:space="preserve">he U.S. Department of Health and Human Services and the U.S. Department of Justice </w:t>
      </w:r>
      <w:r>
        <w:t>published</w:t>
      </w:r>
      <w:r w:rsidRPr="00745998">
        <w:t xml:space="preserve"> guidance on the protections in federal nondiscrimination laws, including the ADA, Section 504 of the Rehabilitation Act of 1973, Title VI of the Civil Rights Act of 1964, and Section 1557 of the Patient Protection and Affordable Care Act, </w:t>
      </w:r>
      <w:r>
        <w:t>to ensure</w:t>
      </w:r>
      <w:r w:rsidRPr="00745998">
        <w:t xml:space="preserve"> that telehealth </w:t>
      </w:r>
      <w:r>
        <w:t>is</w:t>
      </w:r>
      <w:r w:rsidRPr="00745998">
        <w:t xml:space="preserve"> accessible to people with disabilities and limited English proficient persons.. The </w:t>
      </w:r>
      <w:r>
        <w:t xml:space="preserve">July 2022 </w:t>
      </w:r>
      <w:r w:rsidRPr="00745998">
        <w:t>guidance may be found at: </w:t>
      </w:r>
      <w:hyperlink r:id="rId5" w:history="1">
        <w:r w:rsidR="005A6FFB" w:rsidRPr="000F1074">
          <w:rPr>
            <w:rStyle w:val="Hyperlink"/>
          </w:rPr>
          <w:t>https://www.hhs.gov/sites/default/files/guidance-on-nondiscrimination-in-telehealth.pdf</w:t>
        </w:r>
      </w:hyperlink>
      <w:r w:rsidR="005A6FFB" w:rsidRPr="005A6FFB">
        <w:t> - PDF</w:t>
      </w:r>
      <w:r w:rsidRPr="00745998">
        <w:t>.</w:t>
      </w:r>
    </w:p>
  </w:footnote>
  <w:footnote w:id="12">
    <w:p w14:paraId="504E6D41" w14:textId="18CA8BA9" w:rsidR="009958F9" w:rsidRPr="003922DD" w:rsidRDefault="009958F9" w:rsidP="00BA1F35">
      <w:pPr>
        <w:pStyle w:val="FootnoteText"/>
        <w:spacing w:before="120" w:after="120"/>
      </w:pPr>
      <w:r w:rsidRPr="003922DD">
        <w:rPr>
          <w:rStyle w:val="FootnoteReference"/>
        </w:rPr>
        <w:footnoteRef/>
      </w:r>
      <w:r w:rsidRPr="003922DD">
        <w:t xml:space="preserve"> </w:t>
      </w:r>
      <w:r w:rsidR="0055592B" w:rsidRPr="00887C7F">
        <w:rPr>
          <w:i/>
          <w:iCs/>
        </w:rPr>
        <w:t>See</w:t>
      </w:r>
      <w:r w:rsidR="0055592B" w:rsidRPr="003922DD">
        <w:t xml:space="preserve"> </w:t>
      </w:r>
      <w:r w:rsidR="0055592B" w:rsidRPr="003922DD">
        <w:rPr>
          <w:i/>
          <w:iCs/>
        </w:rPr>
        <w:t>COVID-19 Telehealth Program Order</w:t>
      </w:r>
      <w:r w:rsidR="0055592B" w:rsidRPr="003922DD">
        <w:t xml:space="preserve">, </w:t>
      </w:r>
      <w:r w:rsidR="0055592B" w:rsidRPr="003922DD">
        <w:rPr>
          <w:shd w:val="clear" w:color="auto" w:fill="FFFFFF"/>
        </w:rPr>
        <w:t>35 FCC Rcd.</w:t>
      </w:r>
      <w:r w:rsidRPr="003922DD">
        <w:rPr>
          <w:i/>
          <w:iCs/>
        </w:rPr>
        <w:t xml:space="preserve"> </w:t>
      </w:r>
      <w:r w:rsidRPr="003922DD">
        <w:t>at 3367-68</w:t>
      </w:r>
      <w:r w:rsidR="0055592B">
        <w:t>,</w:t>
      </w:r>
      <w:r w:rsidR="0050638C">
        <w:t xml:space="preserve"> para. 3</w:t>
      </w:r>
      <w:r w:rsidRPr="003922DD">
        <w:t>.</w:t>
      </w:r>
    </w:p>
  </w:footnote>
  <w:footnote w:id="13">
    <w:p w14:paraId="0D3CEE2D" w14:textId="094D5F14" w:rsidR="009958F9" w:rsidRDefault="009958F9" w:rsidP="00582E94">
      <w:pPr>
        <w:pStyle w:val="FootnoteText"/>
        <w:spacing w:before="120" w:after="120"/>
      </w:pPr>
      <w:r>
        <w:rPr>
          <w:rStyle w:val="FootnoteReference"/>
        </w:rPr>
        <w:footnoteRef/>
      </w:r>
      <w:r w:rsidRPr="00582E94">
        <w:rPr>
          <w:i/>
        </w:rPr>
        <w:t xml:space="preserve"> See</w:t>
      </w:r>
      <w:r w:rsidRPr="00C86D20">
        <w:t xml:space="preserve"> FCC.gov, </w:t>
      </w:r>
      <w:r w:rsidRPr="00C86D20">
        <w:rPr>
          <w:i/>
          <w:iCs/>
        </w:rPr>
        <w:t>Rural Health Care Program</w:t>
      </w:r>
      <w:r w:rsidR="006151EA" w:rsidRPr="005A6FFB">
        <w:t>, (Oct. 5, 2022)</w:t>
      </w:r>
      <w:r w:rsidRPr="006151EA">
        <w:t>,</w:t>
      </w:r>
      <w:r w:rsidRPr="00C86D20">
        <w:t xml:space="preserve"> </w:t>
      </w:r>
      <w:hyperlink r:id="rId6" w:history="1">
        <w:r w:rsidRPr="000F1074">
          <w:rPr>
            <w:rStyle w:val="Hyperlink"/>
          </w:rPr>
          <w:t>https://www.fcc.gov/general/rural-health-care-program</w:t>
        </w:r>
      </w:hyperlink>
      <w:r>
        <w:t>.</w:t>
      </w:r>
    </w:p>
  </w:footnote>
  <w:footnote w:id="14">
    <w:p w14:paraId="48914A4B" w14:textId="30603F1D" w:rsidR="009958F9" w:rsidRPr="009A51DA" w:rsidRDefault="009958F9" w:rsidP="00BD6DA8">
      <w:pPr>
        <w:pStyle w:val="FootnoteText"/>
        <w:spacing w:before="120" w:after="120"/>
      </w:pPr>
      <w:r w:rsidRPr="00673278">
        <w:rPr>
          <w:rStyle w:val="FootnoteReference"/>
        </w:rPr>
        <w:footnoteRef/>
      </w:r>
      <w:r w:rsidRPr="00673278">
        <w:t xml:space="preserve"> </w:t>
      </w:r>
      <w:r w:rsidRPr="00673278">
        <w:rPr>
          <w:i/>
          <w:iCs/>
        </w:rPr>
        <w:t>See</w:t>
      </w:r>
      <w:r>
        <w:t xml:space="preserve"> FCC.gov, </w:t>
      </w:r>
      <w:r w:rsidRPr="00673278">
        <w:rPr>
          <w:i/>
          <w:iCs/>
        </w:rPr>
        <w:t>Coronavirus</w:t>
      </w:r>
      <w:r w:rsidRPr="00673278">
        <w:t xml:space="preserve">, </w:t>
      </w:r>
      <w:r w:rsidR="00D14DAE">
        <w:t xml:space="preserve">(Sept. 30, 2022), </w:t>
      </w:r>
      <w:hyperlink r:id="rId7" w:history="1">
        <w:r w:rsidRPr="000F1074">
          <w:rPr>
            <w:rStyle w:val="Hyperlink"/>
          </w:rPr>
          <w:t>https://www.fcc.gov/coronavirus</w:t>
        </w:r>
      </w:hyperlink>
      <w:r w:rsidRPr="00673278">
        <w:t xml:space="preserve"> (</w:t>
      </w:r>
      <w:r>
        <w:t>a</w:t>
      </w:r>
      <w:r w:rsidRPr="00673278">
        <w:t xml:space="preserve">lthough we only discuss </w:t>
      </w:r>
      <w:r w:rsidR="00AB44C2">
        <w:t>four</w:t>
      </w:r>
      <w:r w:rsidR="00AB44C2" w:rsidRPr="00673278">
        <w:t xml:space="preserve"> </w:t>
      </w:r>
      <w:r w:rsidR="0050638C">
        <w:t>FCC</w:t>
      </w:r>
      <w:r w:rsidRPr="00673278">
        <w:t xml:space="preserve"> funding programs here, the FCC’s Connect2Health Task Force (C2H) details on its website the actions that the FCC has taken to help protect the public during the COVID-19 pandemic.  C2H </w:t>
      </w:r>
      <w:r w:rsidRPr="00673278">
        <w:rPr>
          <w:shd w:val="clear" w:color="auto" w:fill="FFFFFF"/>
        </w:rPr>
        <w:t>has been working with strategic partners since 2015 to advance broadband connectivity as a recognized social determinant of health</w:t>
      </w:r>
      <w:r w:rsidR="005A6249">
        <w:rPr>
          <w:shd w:val="clear" w:color="auto" w:fill="FFFFFF"/>
        </w:rPr>
        <w:t xml:space="preserve"> domain</w:t>
      </w:r>
      <w:r w:rsidR="005A6249" w:rsidRPr="00673278">
        <w:rPr>
          <w:shd w:val="clear" w:color="auto" w:fill="FFFFFF"/>
        </w:rPr>
        <w:t>.</w:t>
      </w:r>
      <w:r w:rsidR="005A6249">
        <w:rPr>
          <w:shd w:val="clear" w:color="auto" w:fill="FFFFFF"/>
        </w:rPr>
        <w:t xml:space="preserve">  </w:t>
      </w:r>
      <w:r w:rsidR="005A6249" w:rsidRPr="00872549">
        <w:rPr>
          <w:i/>
          <w:iCs/>
          <w:shd w:val="clear" w:color="auto" w:fill="FFFFFF"/>
        </w:rPr>
        <w:t>See</w:t>
      </w:r>
      <w:r w:rsidR="005A6249">
        <w:rPr>
          <w:shd w:val="clear" w:color="auto" w:fill="FFFFFF"/>
        </w:rPr>
        <w:t xml:space="preserve"> </w:t>
      </w:r>
      <w:hyperlink r:id="rId8" w:history="1">
        <w:r w:rsidR="001F6938">
          <w:rPr>
            <w:rStyle w:val="Hyperlink"/>
            <w:shd w:val="clear" w:color="auto" w:fill="FFFFFF"/>
          </w:rPr>
          <w:t>http://www.fcc.gov/health/SDOH</w:t>
        </w:r>
      </w:hyperlink>
      <w:r w:rsidRPr="00673278">
        <w:rPr>
          <w:shd w:val="clear" w:color="auto" w:fill="FFFFFF"/>
        </w:rPr>
        <w:t>.  C2H states,</w:t>
      </w:r>
      <w:r w:rsidRPr="00673278">
        <w:t xml:space="preserve"> “</w:t>
      </w:r>
      <w:r w:rsidRPr="00673278">
        <w:rPr>
          <w:rStyle w:val="Strong"/>
          <w:b w:val="0"/>
          <w:bCs w:val="0"/>
        </w:rPr>
        <w:t>Connect2HealthFCC</w:t>
      </w:r>
      <w:r w:rsidRPr="00673278">
        <w:t xml:space="preserve"> is exploring the intersection of broadband, advanced technology and health and further charting the broadband future of health care – serving as an umbrella for all FCC health-oriented activities to help enable a healthier America.”  Visit </w:t>
      </w:r>
      <w:hyperlink r:id="rId9" w:history="1">
        <w:r w:rsidRPr="000F1074">
          <w:rPr>
            <w:rStyle w:val="Hyperlink"/>
          </w:rPr>
          <w:t>https://www.fcc.gov/about-fcc/fcc-initiatives/connect2healthfcc</w:t>
        </w:r>
      </w:hyperlink>
      <w:r w:rsidRPr="00673278">
        <w:t xml:space="preserve"> for more on the C2H Task Force.).</w:t>
      </w:r>
    </w:p>
  </w:footnote>
  <w:footnote w:id="15">
    <w:p w14:paraId="7A93C462" w14:textId="627EBA04" w:rsidR="009958F9" w:rsidRDefault="009958F9" w:rsidP="002D5F2C">
      <w:pPr>
        <w:pStyle w:val="FootnoteText"/>
        <w:spacing w:before="120" w:after="120"/>
      </w:pPr>
      <w:r>
        <w:rPr>
          <w:rStyle w:val="FootnoteReference"/>
        </w:rPr>
        <w:footnoteRef/>
      </w:r>
      <w:r>
        <w:t xml:space="preserve"> </w:t>
      </w:r>
      <w:r w:rsidRPr="00CB5DEC">
        <w:rPr>
          <w:i/>
          <w:iCs/>
        </w:rPr>
        <w:t xml:space="preserve">See </w:t>
      </w:r>
      <w:r w:rsidR="009F1ED8" w:rsidRPr="005A6FFB">
        <w:rPr>
          <w:color w:val="000000" w:themeColor="text1"/>
          <w:shd w:val="clear" w:color="auto" w:fill="FFFFFF"/>
        </w:rPr>
        <w:t xml:space="preserve">Coronavirus Aid, Relief, and Economic Security </w:t>
      </w:r>
      <w:r w:rsidR="009F1ED8" w:rsidRPr="00EF14A9">
        <w:rPr>
          <w:shd w:val="clear" w:color="auto" w:fill="FFFFFF"/>
        </w:rPr>
        <w:t>Act, </w:t>
      </w:r>
      <w:r w:rsidR="005A6FFB" w:rsidRPr="005A6FFB">
        <w:rPr>
          <w:bdr w:val="none" w:sz="0" w:space="0" w:color="auto" w:frame="1"/>
          <w:shd w:val="clear" w:color="auto" w:fill="FFFFFF"/>
        </w:rPr>
        <w:t>Pub. L. No. 116-136, 134 Stat. 281 (2020).</w:t>
      </w:r>
    </w:p>
  </w:footnote>
  <w:footnote w:id="16">
    <w:p w14:paraId="5285C05D" w14:textId="05F7286D" w:rsidR="009958F9" w:rsidRPr="009A51DA" w:rsidRDefault="009958F9" w:rsidP="002D5F2C">
      <w:pPr>
        <w:pStyle w:val="FootnoteText"/>
        <w:spacing w:before="120" w:after="120"/>
      </w:pPr>
      <w:r w:rsidRPr="009A51DA">
        <w:rPr>
          <w:rStyle w:val="FootnoteReference"/>
        </w:rPr>
        <w:footnoteRef/>
      </w:r>
      <w:r w:rsidRPr="009A51DA">
        <w:t xml:space="preserve"> </w:t>
      </w:r>
      <w:r>
        <w:rPr>
          <w:i/>
          <w:iCs/>
        </w:rPr>
        <w:t xml:space="preserve">See </w:t>
      </w:r>
      <w:r w:rsidR="00DF1432" w:rsidRPr="00F60A64">
        <w:rPr>
          <w:i/>
          <w:iCs/>
        </w:rPr>
        <w:t>COVID-19 Telehealth Program Order</w:t>
      </w:r>
      <w:r>
        <w:rPr>
          <w:i/>
          <w:iCs/>
        </w:rPr>
        <w:t xml:space="preserve">, </w:t>
      </w:r>
      <w:r w:rsidRPr="00BD6DA8">
        <w:t xml:space="preserve">35 FCC Rcd </w:t>
      </w:r>
      <w:r w:rsidR="00DF1432">
        <w:t>at 3367</w:t>
      </w:r>
      <w:r>
        <w:t>, para. 2</w:t>
      </w:r>
      <w:r w:rsidR="001542C4">
        <w:t xml:space="preserve">.  </w:t>
      </w:r>
      <w:r w:rsidR="00DF1432">
        <w:rPr>
          <w:i/>
          <w:iCs/>
        </w:rPr>
        <w:t>S</w:t>
      </w:r>
      <w:r w:rsidRPr="005804FA">
        <w:rPr>
          <w:i/>
          <w:iCs/>
        </w:rPr>
        <w:t>ee</w:t>
      </w:r>
      <w:r>
        <w:t xml:space="preserve"> FCC.gov, </w:t>
      </w:r>
      <w:r w:rsidRPr="005804FA">
        <w:rPr>
          <w:i/>
          <w:iCs/>
        </w:rPr>
        <w:t>FCC COVID-19 Telehealth Program Application Portal to Open April 29</w:t>
      </w:r>
      <w:r w:rsidRPr="005804FA">
        <w:t xml:space="preserve">, </w:t>
      </w:r>
      <w:hyperlink r:id="rId10" w:history="1">
        <w:r w:rsidRPr="000F1074">
          <w:rPr>
            <w:rStyle w:val="Hyperlink"/>
          </w:rPr>
          <w:t>https://www.fcc.gov/document/fcc-covid-19-telehealth-program-application-portal-open-april-29</w:t>
        </w:r>
      </w:hyperlink>
      <w:r w:rsidRPr="005804FA">
        <w:t xml:space="preserve"> (last visited Sept. 20, 2022</w:t>
      </w:r>
      <w:r>
        <w:t>)</w:t>
      </w:r>
      <w:r w:rsidRPr="00CB5DEC">
        <w:t>.</w:t>
      </w:r>
    </w:p>
  </w:footnote>
  <w:footnote w:id="17">
    <w:p w14:paraId="6E440655" w14:textId="49F69969" w:rsidR="006622F9" w:rsidRPr="00457744" w:rsidRDefault="006622F9" w:rsidP="006622F9">
      <w:pPr>
        <w:pStyle w:val="FootnoteText"/>
        <w:spacing w:after="120"/>
      </w:pPr>
      <w:r w:rsidRPr="00AF3F4D">
        <w:rPr>
          <w:rStyle w:val="FootnoteReference"/>
        </w:rPr>
        <w:footnoteRef/>
      </w:r>
      <w:r w:rsidRPr="00AF3F4D">
        <w:t xml:space="preserve"> </w:t>
      </w:r>
      <w:r w:rsidRPr="00AF3F4D">
        <w:rPr>
          <w:i/>
          <w:iCs/>
        </w:rPr>
        <w:t>See</w:t>
      </w:r>
      <w:r w:rsidRPr="00AF3F4D">
        <w:t xml:space="preserve"> Consolidated Appropriations Act, 2021, Pub. L. No:  116-260, Division N-Additional Coronavirus Response and Relief, Title IX-Broadband Internet Access Service, § 903 “FCC COVID-19 Telehealth Program” (2020), </w:t>
      </w:r>
      <w:r w:rsidRPr="00AF3F4D">
        <w:rPr>
          <w:i/>
          <w:iCs/>
        </w:rPr>
        <w:t>available at</w:t>
      </w:r>
      <w:r w:rsidRPr="00AF3F4D">
        <w:t xml:space="preserve"> </w:t>
      </w:r>
      <w:hyperlink r:id="rId11" w:history="1">
        <w:r w:rsidR="005A6FFB" w:rsidRPr="000F1074">
          <w:rPr>
            <w:rStyle w:val="Hyperlink"/>
          </w:rPr>
          <w:t>https://www.congress.gov/bill/116th-congress/house-bill/133/text</w:t>
        </w:r>
      </w:hyperlink>
      <w:r w:rsidRPr="00AF3F4D">
        <w:t xml:space="preserve"> (Consolidated Appropriations Act, 2021).</w:t>
      </w:r>
    </w:p>
  </w:footnote>
  <w:footnote w:id="18">
    <w:p w14:paraId="42B3E11E" w14:textId="59C77B4F" w:rsidR="006622F9" w:rsidRPr="00AD487D" w:rsidRDefault="006622F9" w:rsidP="006622F9">
      <w:pPr>
        <w:pStyle w:val="FootnoteText"/>
        <w:spacing w:after="120"/>
      </w:pPr>
      <w:r>
        <w:rPr>
          <w:rStyle w:val="FootnoteReference"/>
        </w:rPr>
        <w:footnoteRef/>
      </w:r>
      <w:r>
        <w:t xml:space="preserve"> </w:t>
      </w:r>
      <w:r w:rsidR="00864F5F">
        <w:t xml:space="preserve">See </w:t>
      </w:r>
      <w:r w:rsidRPr="005A6FFB">
        <w:t>COVID-19 Telehealth Program, Promoting Telehealth for Low-Income Consumers</w:t>
      </w:r>
      <w:r>
        <w:rPr>
          <w:i/>
          <w:iCs/>
        </w:rPr>
        <w:t xml:space="preserve">, </w:t>
      </w:r>
      <w:r>
        <w:t>Report and Order and Order on Reconsideration,</w:t>
      </w:r>
      <w:r>
        <w:rPr>
          <w:i/>
          <w:iCs/>
        </w:rPr>
        <w:t xml:space="preserve"> </w:t>
      </w:r>
      <w:r w:rsidRPr="00BD6DA8">
        <w:t>3</w:t>
      </w:r>
      <w:r>
        <w:t>6</w:t>
      </w:r>
      <w:r w:rsidRPr="00BD6DA8">
        <w:t xml:space="preserve"> FCC Rcd </w:t>
      </w:r>
      <w:r>
        <w:t>7141, 7143, para. 3 (2021) (</w:t>
      </w:r>
      <w:r>
        <w:rPr>
          <w:i/>
          <w:iCs/>
        </w:rPr>
        <w:t>COVID-19 Telehealth Program Round 2 Order)</w:t>
      </w:r>
      <w:r>
        <w:t>.</w:t>
      </w:r>
    </w:p>
  </w:footnote>
  <w:footnote w:id="19">
    <w:p w14:paraId="6B989145" w14:textId="437CA3E6" w:rsidR="00E35603" w:rsidRPr="009A51DA" w:rsidRDefault="00E35603" w:rsidP="00E35603">
      <w:pPr>
        <w:pStyle w:val="FootnoteText"/>
        <w:spacing w:before="120" w:after="120"/>
      </w:pPr>
      <w:r w:rsidRPr="009A51DA">
        <w:rPr>
          <w:rStyle w:val="FootnoteReference"/>
        </w:rPr>
        <w:footnoteRef/>
      </w:r>
      <w:r w:rsidRPr="009A51DA">
        <w:t xml:space="preserve"> </w:t>
      </w:r>
      <w:r w:rsidR="00864F5F" w:rsidRPr="005A6FFB">
        <w:rPr>
          <w:i/>
          <w:iCs/>
        </w:rPr>
        <w:t>See</w:t>
      </w:r>
      <w:r w:rsidR="00864F5F">
        <w:t xml:space="preserve"> </w:t>
      </w:r>
      <w:r w:rsidRPr="005804FA">
        <w:rPr>
          <w:i/>
          <w:iCs/>
        </w:rPr>
        <w:t>COVID-19 Telehealth Program Order</w:t>
      </w:r>
      <w:r>
        <w:rPr>
          <w:i/>
          <w:iCs/>
        </w:rPr>
        <w:t>, 35 FCC Rcd at</w:t>
      </w:r>
      <w:r w:rsidRPr="009A51DA">
        <w:rPr>
          <w:i/>
          <w:iCs/>
        </w:rPr>
        <w:t xml:space="preserve"> </w:t>
      </w:r>
      <w:r w:rsidRPr="009A51DA">
        <w:t>3375</w:t>
      </w:r>
      <w:r>
        <w:t>, para. 13</w:t>
      </w:r>
      <w:r w:rsidRPr="009A51DA">
        <w:t>.</w:t>
      </w:r>
    </w:p>
  </w:footnote>
  <w:footnote w:id="20">
    <w:p w14:paraId="4B447D88" w14:textId="65BE35B0" w:rsidR="006622F9" w:rsidRDefault="006622F9" w:rsidP="005A6FFB">
      <w:pPr>
        <w:pStyle w:val="FootnoteText"/>
        <w:spacing w:before="120" w:after="120"/>
      </w:pPr>
      <w:r>
        <w:rPr>
          <w:rStyle w:val="FootnoteReference"/>
        </w:rPr>
        <w:footnoteRef/>
      </w:r>
      <w:r>
        <w:t xml:space="preserve"> </w:t>
      </w:r>
      <w:r w:rsidRPr="005A6FFB">
        <w:rPr>
          <w:i/>
          <w:iCs/>
        </w:rPr>
        <w:t>See</w:t>
      </w:r>
      <w:r>
        <w:t xml:space="preserve"> FCC.gov, </w:t>
      </w:r>
      <w:r w:rsidRPr="005A6FFB">
        <w:rPr>
          <w:i/>
          <w:iCs/>
        </w:rPr>
        <w:t>COVID-19 Telehealth Awards</w:t>
      </w:r>
      <w:r>
        <w:t xml:space="preserve"> </w:t>
      </w:r>
      <w:r w:rsidRPr="005A6FFB">
        <w:t xml:space="preserve">(Jul. 8, 2020), </w:t>
      </w:r>
      <w:hyperlink r:id="rId12" w:history="1">
        <w:r w:rsidR="005A6FFB" w:rsidRPr="000F1074">
          <w:rPr>
            <w:rStyle w:val="Hyperlink"/>
          </w:rPr>
          <w:t>https://www.fcc.gov/sites/default/files/covid-19-telehealth-program-recipients.pdf</w:t>
        </w:r>
      </w:hyperlink>
      <w:r>
        <w:t xml:space="preserve"> (list of COVID-19 Telehealth Program Round 1 Awards).</w:t>
      </w:r>
      <w:r w:rsidR="008E1F70">
        <w:t xml:space="preserve">  </w:t>
      </w:r>
      <w:r w:rsidR="008E1F70" w:rsidRPr="00661C31">
        <w:t xml:space="preserve">The FCC is no longer </w:t>
      </w:r>
      <w:r w:rsidR="00464A5D" w:rsidRPr="00661C31">
        <w:t>accept</w:t>
      </w:r>
      <w:r w:rsidR="008E1F70" w:rsidRPr="00661C31">
        <w:t>ing applications for Round 1.</w:t>
      </w:r>
    </w:p>
  </w:footnote>
  <w:footnote w:id="21">
    <w:p w14:paraId="1D9098B5" w14:textId="211870E5" w:rsidR="006622F9" w:rsidRPr="00B662DF" w:rsidRDefault="006622F9" w:rsidP="005A6FFB">
      <w:pPr>
        <w:pStyle w:val="FootnoteText"/>
        <w:spacing w:before="120" w:after="120"/>
      </w:pPr>
      <w:r>
        <w:rPr>
          <w:rStyle w:val="FootnoteReference"/>
        </w:rPr>
        <w:footnoteRef/>
      </w:r>
      <w:r>
        <w:t xml:space="preserve"> </w:t>
      </w:r>
      <w:r w:rsidR="00671EF2" w:rsidRPr="005A6FFB">
        <w:rPr>
          <w:i/>
          <w:iCs/>
        </w:rPr>
        <w:t>See</w:t>
      </w:r>
      <w:r w:rsidR="00671EF2">
        <w:t xml:space="preserve"> FCC.gov, </w:t>
      </w:r>
      <w:r w:rsidR="00671EF2" w:rsidRPr="005A6FFB">
        <w:rPr>
          <w:i/>
          <w:iCs/>
        </w:rPr>
        <w:t>R2 Awardees List</w:t>
      </w:r>
      <w:r>
        <w:t xml:space="preserve">, </w:t>
      </w:r>
      <w:r w:rsidR="00671EF2">
        <w:t xml:space="preserve">(Jun. 30, 2022), </w:t>
      </w:r>
      <w:hyperlink r:id="rId13" w:history="1">
        <w:r w:rsidR="005A6FFB" w:rsidRPr="000F1074">
          <w:rPr>
            <w:rStyle w:val="Hyperlink"/>
          </w:rPr>
          <w:t>https://www.fcc.gov/sites/default/files/r2_awardees_list_6.30.pdf</w:t>
        </w:r>
      </w:hyperlink>
      <w:r>
        <w:t xml:space="preserve"> </w:t>
      </w:r>
      <w:r w:rsidR="00671EF2">
        <w:t>(</w:t>
      </w:r>
      <w:r>
        <w:t>list of COVID-19 Telehealth Program Round 2 Awards).</w:t>
      </w:r>
    </w:p>
  </w:footnote>
  <w:footnote w:id="22">
    <w:p w14:paraId="629B3B33" w14:textId="5874013A" w:rsidR="009958F9" w:rsidRPr="00BB0221" w:rsidRDefault="009958F9" w:rsidP="00BB0221">
      <w:pPr>
        <w:pStyle w:val="FootnoteText"/>
        <w:spacing w:before="120" w:after="120"/>
      </w:pPr>
      <w:r w:rsidRPr="00BB0221">
        <w:rPr>
          <w:rStyle w:val="FootnoteReference"/>
        </w:rPr>
        <w:footnoteRef/>
      </w:r>
      <w:r w:rsidRPr="00BB0221">
        <w:t xml:space="preserve"> </w:t>
      </w:r>
      <w:r w:rsidR="00864F5F" w:rsidRPr="005A6FFB">
        <w:rPr>
          <w:i/>
          <w:iCs/>
        </w:rPr>
        <w:t>See</w:t>
      </w:r>
      <w:r w:rsidR="00864F5F">
        <w:t xml:space="preserve"> </w:t>
      </w:r>
      <w:r w:rsidR="001542C4" w:rsidRPr="00BB0221">
        <w:rPr>
          <w:i/>
          <w:iCs/>
        </w:rPr>
        <w:t>COVID-19 Telehealth Program Order,</w:t>
      </w:r>
      <w:r w:rsidRPr="00BB0221">
        <w:rPr>
          <w:i/>
          <w:iCs/>
        </w:rPr>
        <w:t xml:space="preserve"> </w:t>
      </w:r>
      <w:r w:rsidR="001542C4" w:rsidRPr="00BB0221">
        <w:rPr>
          <w:shd w:val="clear" w:color="auto" w:fill="FFFFFF"/>
        </w:rPr>
        <w:t xml:space="preserve">35 FCC Rcd </w:t>
      </w:r>
      <w:r w:rsidRPr="00BB0221">
        <w:t>at 3384</w:t>
      </w:r>
      <w:r w:rsidR="001542C4" w:rsidRPr="00BB0221">
        <w:t>, para. 37</w:t>
      </w:r>
      <w:r w:rsidRPr="00BB0221">
        <w:t xml:space="preserve">.  </w:t>
      </w:r>
      <w:r w:rsidRPr="00BB0221">
        <w:rPr>
          <w:i/>
          <w:iCs/>
        </w:rPr>
        <w:t>See also</w:t>
      </w:r>
      <w:r w:rsidRPr="00BB0221">
        <w:t xml:space="preserve">, FCC.gov, </w:t>
      </w:r>
      <w:r w:rsidRPr="00BB0221">
        <w:rPr>
          <w:i/>
        </w:rPr>
        <w:t xml:space="preserve">Connected Care Pilot </w:t>
      </w:r>
      <w:r w:rsidRPr="005A6FFB">
        <w:rPr>
          <w:i/>
          <w:color w:val="000000" w:themeColor="text1"/>
        </w:rPr>
        <w:t>Program</w:t>
      </w:r>
      <w:r w:rsidRPr="005A6FFB">
        <w:rPr>
          <w:color w:val="000000" w:themeColor="text1"/>
        </w:rPr>
        <w:t xml:space="preserve">, </w:t>
      </w:r>
      <w:r w:rsidR="009F1ED8" w:rsidRPr="005A6FFB">
        <w:rPr>
          <w:color w:val="000000" w:themeColor="text1"/>
        </w:rPr>
        <w:t xml:space="preserve">(Mar. 21, 2022), </w:t>
      </w:r>
      <w:hyperlink r:id="rId14" w:history="1">
        <w:r w:rsidR="005A6FFB" w:rsidRPr="000F1074">
          <w:rPr>
            <w:rStyle w:val="Hyperlink"/>
          </w:rPr>
          <w:t>https://www.fcc.gov/wireline-competition/telecommunications-access-policy-division/connected-care-pilot-program</w:t>
        </w:r>
      </w:hyperlink>
      <w:r w:rsidRPr="00BB0221">
        <w:t>.</w:t>
      </w:r>
    </w:p>
  </w:footnote>
  <w:footnote w:id="23">
    <w:p w14:paraId="27C6E25E" w14:textId="4AEBC4A6" w:rsidR="009958F9" w:rsidRPr="00BB0221" w:rsidRDefault="009958F9" w:rsidP="00BB0221">
      <w:pPr>
        <w:pStyle w:val="FootnoteText"/>
        <w:spacing w:before="120" w:after="120"/>
      </w:pPr>
      <w:r w:rsidRPr="00BB0221">
        <w:rPr>
          <w:rStyle w:val="FootnoteReference"/>
        </w:rPr>
        <w:footnoteRef/>
      </w:r>
      <w:r w:rsidRPr="00BB0221">
        <w:t xml:space="preserve"> </w:t>
      </w:r>
      <w:r w:rsidRPr="00BB0221">
        <w:rPr>
          <w:i/>
          <w:iCs/>
        </w:rPr>
        <w:t>See COVID-19 Telehealth Program Order</w:t>
      </w:r>
      <w:r w:rsidRPr="00BB0221">
        <w:t xml:space="preserve">, </w:t>
      </w:r>
      <w:r w:rsidRPr="00BB0221">
        <w:rPr>
          <w:shd w:val="clear" w:color="auto" w:fill="FFFFFF"/>
        </w:rPr>
        <w:t>35 FCC Rcd at 3384, para. 37.</w:t>
      </w:r>
    </w:p>
  </w:footnote>
  <w:footnote w:id="24">
    <w:p w14:paraId="475637C1" w14:textId="43E77EF7" w:rsidR="009958F9" w:rsidRPr="00BB0221" w:rsidRDefault="009958F9" w:rsidP="00BB0221">
      <w:pPr>
        <w:pStyle w:val="FootnoteText"/>
        <w:spacing w:before="120" w:after="120"/>
      </w:pPr>
      <w:r w:rsidRPr="008E1F70">
        <w:rPr>
          <w:rStyle w:val="FootnoteReference"/>
        </w:rPr>
        <w:footnoteRef/>
      </w:r>
      <w:r w:rsidRPr="008E1F70">
        <w:t xml:space="preserve"> </w:t>
      </w:r>
      <w:bookmarkStart w:id="24" w:name="_Hlk117149259"/>
      <w:r w:rsidR="008E1F70" w:rsidRPr="00887C7F">
        <w:rPr>
          <w:i/>
          <w:iCs/>
        </w:rPr>
        <w:t>See</w:t>
      </w:r>
      <w:r w:rsidR="008E1F70">
        <w:t xml:space="preserve"> FCC.gov, </w:t>
      </w:r>
      <w:r w:rsidR="008E1F70">
        <w:rPr>
          <w:i/>
          <w:iCs/>
        </w:rPr>
        <w:t>CCCP Selection List</w:t>
      </w:r>
      <w:r w:rsidR="008E1F70">
        <w:t xml:space="preserve"> </w:t>
      </w:r>
      <w:r w:rsidR="008E1F70" w:rsidRPr="00887C7F">
        <w:t>(Ju</w:t>
      </w:r>
      <w:r w:rsidR="008E1F70">
        <w:t>n</w:t>
      </w:r>
      <w:r w:rsidR="008E1F70" w:rsidRPr="00887C7F">
        <w:t xml:space="preserve">. </w:t>
      </w:r>
      <w:r w:rsidR="00D93F27">
        <w:t>21</w:t>
      </w:r>
      <w:r w:rsidR="008E1F70" w:rsidRPr="00887C7F">
        <w:t>, 202</w:t>
      </w:r>
      <w:r w:rsidR="008E1F70">
        <w:t>1</w:t>
      </w:r>
      <w:r w:rsidR="008E1F70" w:rsidRPr="00887C7F">
        <w:t>),</w:t>
      </w:r>
      <w:r w:rsidR="008E1F70" w:rsidRPr="006622F9">
        <w:t xml:space="preserve"> </w:t>
      </w:r>
      <w:hyperlink r:id="rId15" w:history="1">
        <w:r w:rsidR="005A6FFB" w:rsidRPr="000F1074">
          <w:rPr>
            <w:rStyle w:val="Hyperlink"/>
            <w:i/>
            <w:iCs/>
          </w:rPr>
          <w:t>https://www.fcc.gov/sites/default/files/ccpp-selection-list_6.21.2021.pd</w:t>
        </w:r>
        <w:r w:rsidR="00247A57" w:rsidRPr="000F1074">
          <w:rPr>
            <w:rStyle w:val="Hyperlink"/>
            <w:i/>
            <w:iCs/>
          </w:rPr>
          <w:t>f</w:t>
        </w:r>
      </w:hyperlink>
      <w:r w:rsidR="008E1F70">
        <w:rPr>
          <w:i/>
          <w:iCs/>
        </w:rPr>
        <w:t xml:space="preserve"> (</w:t>
      </w:r>
      <w:r w:rsidR="008E1F70" w:rsidRPr="005A6FFB">
        <w:t xml:space="preserve">list of </w:t>
      </w:r>
      <w:r w:rsidR="00A07BC2">
        <w:t xml:space="preserve">all </w:t>
      </w:r>
      <w:r w:rsidR="008E1F70" w:rsidRPr="005A6FFB">
        <w:t>Connected Care Pilot Program projects selected projects</w:t>
      </w:r>
      <w:r w:rsidR="00A07BC2">
        <w:t xml:space="preserve"> as of 6-17-21</w:t>
      </w:r>
      <w:r w:rsidR="008E1F70">
        <w:rPr>
          <w:i/>
          <w:iCs/>
        </w:rPr>
        <w:t>).</w:t>
      </w:r>
      <w:bookmarkEnd w:id="24"/>
    </w:p>
  </w:footnote>
  <w:footnote w:id="25">
    <w:p w14:paraId="370AAF77" w14:textId="4752D7B0" w:rsidR="006272A7" w:rsidRPr="00BB0221" w:rsidRDefault="006272A7" w:rsidP="005A6FFB">
      <w:pPr>
        <w:pStyle w:val="FootnoteText"/>
        <w:spacing w:before="120" w:after="120"/>
      </w:pPr>
      <w:r w:rsidRPr="00BB0221">
        <w:rPr>
          <w:rStyle w:val="FootnoteReference"/>
        </w:rPr>
        <w:footnoteRef/>
      </w:r>
      <w:r w:rsidRPr="00BB0221">
        <w:t xml:space="preserve"> While this report provides an overview of the Emergency Broadband Benefit Program and the Affordable Connectivity Program, the FCC’s longstanding Lifeline program provides low-income consumers discounts on voice, bundled voice and stand-alone broadband service.  The Lifeline program provides eligible low-income subscribers with a monthly discount of up to $9.25 on qualifying broadband or voice and broadband bundled service, and eligible low-income subscribers on Tribal lands up to $34.25 per month.  Lifeline subscribers qualify for the Affordable Connectivity Program and can apply both benefits to the same broadband service or can choose to receive two separate broadband services.   Additional information on the Lifeline program is available at </w:t>
      </w:r>
      <w:hyperlink r:id="rId16" w:history="1">
        <w:r w:rsidR="005A6FFB" w:rsidRPr="000F1074">
          <w:rPr>
            <w:rStyle w:val="Hyperlink"/>
          </w:rPr>
          <w:t>https://www.fcc.gov/lifeline-consumers</w:t>
        </w:r>
      </w:hyperlink>
      <w:r w:rsidRPr="00BB0221">
        <w:t xml:space="preserve">. </w:t>
      </w:r>
    </w:p>
  </w:footnote>
  <w:footnote w:id="26">
    <w:p w14:paraId="4F7EF67B" w14:textId="641CF1EB" w:rsidR="00B20844" w:rsidRPr="00247A57" w:rsidRDefault="00B20844" w:rsidP="005A6FFB">
      <w:pPr>
        <w:spacing w:before="120" w:after="120"/>
        <w:rPr>
          <w:sz w:val="20"/>
          <w:szCs w:val="20"/>
        </w:rPr>
      </w:pPr>
      <w:r w:rsidRPr="005A6FFB">
        <w:rPr>
          <w:rStyle w:val="FootnoteReference"/>
          <w:sz w:val="20"/>
          <w:szCs w:val="20"/>
        </w:rPr>
        <w:footnoteRef/>
      </w:r>
      <w:r w:rsidRPr="005A6FFB">
        <w:rPr>
          <w:sz w:val="20"/>
          <w:szCs w:val="20"/>
        </w:rPr>
        <w:t xml:space="preserve"> </w:t>
      </w:r>
      <w:r w:rsidRPr="00247A57">
        <w:rPr>
          <w:i/>
          <w:iCs/>
          <w:sz w:val="20"/>
          <w:szCs w:val="20"/>
        </w:rPr>
        <w:t>See</w:t>
      </w:r>
      <w:r w:rsidRPr="00247A57">
        <w:rPr>
          <w:sz w:val="20"/>
          <w:szCs w:val="20"/>
        </w:rPr>
        <w:t xml:space="preserve"> Consolidated Appropriations Act, 2021, Pub. L. No. 116-260, div. N, tit. IX, § 904(b)(1), 134 Stat. 2130, 2131 (2020)</w:t>
      </w:r>
      <w:r w:rsidR="00D93F27">
        <w:rPr>
          <w:sz w:val="20"/>
          <w:szCs w:val="20"/>
        </w:rPr>
        <w:t>.</w:t>
      </w:r>
    </w:p>
  </w:footnote>
  <w:footnote w:id="27">
    <w:p w14:paraId="0B104377" w14:textId="1A5DA85A" w:rsidR="00BB0221" w:rsidRPr="00247A57" w:rsidRDefault="00BB0221" w:rsidP="005A6FFB">
      <w:pPr>
        <w:pStyle w:val="FootnoteText"/>
        <w:spacing w:before="120" w:after="120"/>
      </w:pPr>
      <w:r w:rsidRPr="00247A57">
        <w:rPr>
          <w:rStyle w:val="FootnoteReference"/>
        </w:rPr>
        <w:footnoteRef/>
      </w:r>
      <w:r w:rsidRPr="00247A57">
        <w:t xml:space="preserve"> </w:t>
      </w:r>
      <w:r w:rsidRPr="00247A57">
        <w:rPr>
          <w:i/>
          <w:iCs/>
        </w:rPr>
        <w:t>Id.</w:t>
      </w:r>
      <w:r w:rsidRPr="00247A57">
        <w:t xml:space="preserve"> </w:t>
      </w:r>
      <w:r w:rsidR="00247A57">
        <w:t xml:space="preserve">at </w:t>
      </w:r>
      <w:r w:rsidRPr="00247A57">
        <w:t>§ 904(a)(7).</w:t>
      </w:r>
    </w:p>
  </w:footnote>
  <w:footnote w:id="28">
    <w:p w14:paraId="3B8435E2" w14:textId="6BAB61BC" w:rsidR="003E77AB" w:rsidRDefault="003E77AB" w:rsidP="003E77AB">
      <w:pPr>
        <w:pStyle w:val="FootnoteText"/>
        <w:spacing w:after="120"/>
      </w:pPr>
      <w:r w:rsidRPr="00247A57">
        <w:rPr>
          <w:rStyle w:val="FootnoteReference"/>
        </w:rPr>
        <w:footnoteRef/>
      </w:r>
      <w:r w:rsidRPr="00247A57">
        <w:t xml:space="preserve"> </w:t>
      </w:r>
      <w:r w:rsidRPr="00247A57">
        <w:rPr>
          <w:i/>
          <w:iCs/>
        </w:rPr>
        <w:t>Id.</w:t>
      </w:r>
      <w:r w:rsidRPr="00247A57">
        <w:t xml:space="preserve"> </w:t>
      </w:r>
      <w:r w:rsidR="00247A57">
        <w:t xml:space="preserve">at </w:t>
      </w:r>
      <w:r w:rsidRPr="00247A57">
        <w:t>§ 904(b)(5).</w:t>
      </w:r>
    </w:p>
  </w:footnote>
  <w:footnote w:id="29">
    <w:p w14:paraId="23F849DD" w14:textId="1C930A52" w:rsidR="004243D2" w:rsidRPr="0076030C" w:rsidRDefault="004243D2" w:rsidP="004243D2">
      <w:pPr>
        <w:spacing w:after="120"/>
        <w:rPr>
          <w:sz w:val="20"/>
          <w:szCs w:val="20"/>
        </w:rPr>
      </w:pPr>
      <w:r>
        <w:rPr>
          <w:rStyle w:val="FootnoteReference"/>
        </w:rPr>
        <w:footnoteRef/>
      </w:r>
      <w:r>
        <w:t xml:space="preserve"> </w:t>
      </w:r>
      <w:r w:rsidRPr="00E61629">
        <w:rPr>
          <w:i/>
          <w:iCs/>
          <w:sz w:val="20"/>
          <w:szCs w:val="20"/>
        </w:rPr>
        <w:t>See</w:t>
      </w:r>
      <w:r w:rsidR="00A936A9">
        <w:rPr>
          <w:i/>
          <w:iCs/>
          <w:sz w:val="20"/>
          <w:szCs w:val="20"/>
        </w:rPr>
        <w:t xml:space="preserve"> </w:t>
      </w:r>
      <w:r w:rsidR="00A936A9" w:rsidRPr="005A6FFB">
        <w:rPr>
          <w:sz w:val="20"/>
          <w:szCs w:val="20"/>
        </w:rPr>
        <w:t>FCC.gov</w:t>
      </w:r>
      <w:r w:rsidR="00A936A9">
        <w:rPr>
          <w:i/>
          <w:iCs/>
          <w:sz w:val="20"/>
          <w:szCs w:val="20"/>
        </w:rPr>
        <w:t xml:space="preserve">, Affordable </w:t>
      </w:r>
      <w:r w:rsidR="00A936A9" w:rsidRPr="00661C31">
        <w:rPr>
          <w:i/>
          <w:iCs/>
          <w:sz w:val="20"/>
          <w:szCs w:val="20"/>
        </w:rPr>
        <w:t>Connectivity Program</w:t>
      </w:r>
      <w:r w:rsidR="00A936A9" w:rsidRPr="00661C31">
        <w:rPr>
          <w:sz w:val="20"/>
          <w:szCs w:val="20"/>
        </w:rPr>
        <w:t xml:space="preserve">, </w:t>
      </w:r>
      <w:r w:rsidR="00466E0D" w:rsidRPr="00661C31">
        <w:rPr>
          <w:sz w:val="20"/>
          <w:szCs w:val="20"/>
        </w:rPr>
        <w:t xml:space="preserve">(Oct. 19, 2022), </w:t>
      </w:r>
      <w:hyperlink r:id="rId17" w:history="1">
        <w:r w:rsidR="005A6FFB" w:rsidRPr="000F1074">
          <w:rPr>
            <w:rStyle w:val="Hyperlink"/>
            <w:sz w:val="20"/>
            <w:szCs w:val="20"/>
          </w:rPr>
          <w:t>https://www.fcc.gov/acp</w:t>
        </w:r>
      </w:hyperlink>
      <w:r w:rsidR="00A936A9" w:rsidRPr="00A809AD">
        <w:rPr>
          <w:i/>
          <w:iCs/>
          <w:sz w:val="20"/>
          <w:szCs w:val="20"/>
        </w:rPr>
        <w:t>.  See</w:t>
      </w:r>
      <w:r w:rsidRPr="00A809AD">
        <w:rPr>
          <w:i/>
          <w:iCs/>
          <w:sz w:val="20"/>
          <w:szCs w:val="20"/>
        </w:rPr>
        <w:t xml:space="preserve"> generally</w:t>
      </w:r>
      <w:r w:rsidRPr="00A809AD">
        <w:rPr>
          <w:sz w:val="20"/>
          <w:szCs w:val="20"/>
        </w:rPr>
        <w:t xml:space="preserve"> </w:t>
      </w:r>
      <w:r w:rsidRPr="005A6FFB">
        <w:rPr>
          <w:iCs/>
          <w:sz w:val="20"/>
          <w:szCs w:val="20"/>
        </w:rPr>
        <w:t>Emergency Broadband Benefit Program</w:t>
      </w:r>
      <w:r w:rsidRPr="00A809AD">
        <w:rPr>
          <w:iCs/>
          <w:sz w:val="20"/>
          <w:szCs w:val="20"/>
        </w:rPr>
        <w:t xml:space="preserve">, </w:t>
      </w:r>
      <w:r w:rsidRPr="005A6FFB">
        <w:rPr>
          <w:iCs/>
          <w:sz w:val="20"/>
          <w:szCs w:val="20"/>
        </w:rPr>
        <w:t>Affordable Connectivity Program</w:t>
      </w:r>
      <w:r w:rsidRPr="00A809AD">
        <w:rPr>
          <w:i/>
          <w:iCs/>
          <w:sz w:val="20"/>
          <w:szCs w:val="20"/>
        </w:rPr>
        <w:t>,</w:t>
      </w:r>
      <w:r w:rsidRPr="00A809AD">
        <w:rPr>
          <w:sz w:val="20"/>
          <w:szCs w:val="20"/>
        </w:rPr>
        <w:t xml:space="preserve"> WC Docket Nos. 20-445, 21-450, Order, DA 21-1477 (WCB Nov. 26, 2021).</w:t>
      </w:r>
    </w:p>
  </w:footnote>
  <w:footnote w:id="30">
    <w:p w14:paraId="32FDD2F6" w14:textId="22DFC1B6" w:rsidR="004243D2" w:rsidRPr="00F65F76" w:rsidRDefault="004243D2" w:rsidP="004243D2">
      <w:pPr>
        <w:spacing w:after="120"/>
        <w:rPr>
          <w:sz w:val="20"/>
          <w:szCs w:val="20"/>
        </w:rPr>
      </w:pPr>
      <w:bookmarkStart w:id="27" w:name="_Hlk117166604"/>
      <w:r w:rsidRPr="00A809AD">
        <w:rPr>
          <w:rStyle w:val="FootnoteReference"/>
        </w:rPr>
        <w:footnoteRef/>
      </w:r>
      <w:r w:rsidRPr="00A809AD">
        <w:t xml:space="preserve"> </w:t>
      </w:r>
      <w:r w:rsidRPr="00A809AD">
        <w:rPr>
          <w:i/>
          <w:iCs/>
          <w:sz w:val="20"/>
          <w:szCs w:val="20"/>
        </w:rPr>
        <w:t xml:space="preserve">See </w:t>
      </w:r>
      <w:r w:rsidRPr="00A809AD">
        <w:rPr>
          <w:sz w:val="20"/>
          <w:szCs w:val="20"/>
        </w:rPr>
        <w:t>Infrastructure Investment and Jobs Act, Pub. L. No. 117-58 (2021)</w:t>
      </w:r>
      <w:r w:rsidR="00D93F27">
        <w:rPr>
          <w:sz w:val="20"/>
          <w:szCs w:val="20"/>
        </w:rPr>
        <w:t>.</w:t>
      </w:r>
      <w:bookmarkEnd w:id="27"/>
    </w:p>
  </w:footnote>
  <w:footnote w:id="31">
    <w:p w14:paraId="5AEB7D6E" w14:textId="44890D40" w:rsidR="00405155" w:rsidRDefault="00405155" w:rsidP="00405155">
      <w:pPr>
        <w:pStyle w:val="FootnoteText"/>
        <w:spacing w:after="120"/>
      </w:pPr>
      <w:r w:rsidRPr="00A809AD">
        <w:rPr>
          <w:rStyle w:val="FootnoteReference"/>
        </w:rPr>
        <w:footnoteRef/>
      </w:r>
      <w:r w:rsidRPr="00A809AD">
        <w:t xml:space="preserve"> </w:t>
      </w:r>
      <w:r w:rsidR="00466E0D" w:rsidRPr="005A6FFB">
        <w:rPr>
          <w:i/>
          <w:iCs/>
        </w:rPr>
        <w:t>See</w:t>
      </w:r>
      <w:r w:rsidR="00466E0D">
        <w:t xml:space="preserve"> </w:t>
      </w:r>
      <w:r w:rsidRPr="00A809AD">
        <w:t>47 U.S.C. § 1752(a)(7)(A).</w:t>
      </w:r>
    </w:p>
  </w:footnote>
  <w:footnote w:id="32">
    <w:p w14:paraId="03100505" w14:textId="16C4768F" w:rsidR="00405155" w:rsidRDefault="00405155" w:rsidP="00405155">
      <w:pPr>
        <w:pStyle w:val="FootnoteText"/>
        <w:spacing w:after="120"/>
      </w:pPr>
      <w:r w:rsidRPr="00A809AD">
        <w:rPr>
          <w:rStyle w:val="FootnoteReference"/>
        </w:rPr>
        <w:footnoteRef/>
      </w:r>
      <w:r w:rsidRPr="00A809AD">
        <w:t xml:space="preserve"> </w:t>
      </w:r>
      <w:r w:rsidR="00466E0D" w:rsidRPr="005A6FFB">
        <w:rPr>
          <w:i/>
          <w:iCs/>
        </w:rPr>
        <w:t>See</w:t>
      </w:r>
      <w:r w:rsidR="00466E0D">
        <w:t xml:space="preserve"> </w:t>
      </w:r>
      <w:r w:rsidRPr="00A809AD">
        <w:t>47 U.S.C. § 1752(b)(5).</w:t>
      </w:r>
    </w:p>
  </w:footnote>
  <w:footnote w:id="33">
    <w:p w14:paraId="7D3E1558" w14:textId="620D6AE0" w:rsidR="007C5EE1" w:rsidRDefault="007C5EE1" w:rsidP="007C5EE1">
      <w:pPr>
        <w:pStyle w:val="FootnoteText"/>
        <w:spacing w:after="120"/>
      </w:pPr>
      <w:r>
        <w:rPr>
          <w:rStyle w:val="FootnoteReference"/>
        </w:rPr>
        <w:footnoteRef/>
      </w:r>
      <w:r w:rsidRPr="1B34CADD">
        <w:rPr>
          <w:rStyle w:val="FootnoteReference"/>
        </w:rPr>
        <w:t xml:space="preserve"> </w:t>
      </w:r>
      <w:r>
        <w:t xml:space="preserve"> </w:t>
      </w:r>
      <w:r w:rsidR="003718E8">
        <w:rPr>
          <w:i/>
          <w:iCs/>
        </w:rPr>
        <w:t xml:space="preserve">See </w:t>
      </w:r>
      <w:r w:rsidR="003718E8" w:rsidRPr="00887C7F">
        <w:t>Affordable Connectivity Program, Emergency Broadband Benefit Program</w:t>
      </w:r>
      <w:r w:rsidR="003718E8" w:rsidRPr="00700355">
        <w:t>, Report and Order and Further Notice</w:t>
      </w:r>
      <w:r w:rsidR="003718E8">
        <w:t xml:space="preserve"> </w:t>
      </w:r>
      <w:r w:rsidR="003718E8" w:rsidRPr="00700355">
        <w:t xml:space="preserve">of Proposed Rulemaking, WC Docket No. 21-450, 20-445, </w:t>
      </w:r>
      <w:r w:rsidR="003718E8">
        <w:t>FCC 22-2</w:t>
      </w:r>
      <w:r w:rsidR="003718E8" w:rsidRPr="00700355">
        <w:t xml:space="preserve">, </w:t>
      </w:r>
      <w:r w:rsidR="003718E8">
        <w:t xml:space="preserve">21, </w:t>
      </w:r>
      <w:r w:rsidR="003718E8" w:rsidRPr="00700355">
        <w:t xml:space="preserve">para. </w:t>
      </w:r>
      <w:r w:rsidR="003718E8">
        <w:t>49</w:t>
      </w:r>
      <w:r w:rsidR="003718E8" w:rsidRPr="00700355">
        <w:t xml:space="preserve"> (2022)</w:t>
      </w:r>
      <w:r w:rsidR="003718E8">
        <w:t xml:space="preserve">; 47 CFR </w:t>
      </w:r>
      <w:r w:rsidR="003718E8" w:rsidRPr="00706A27">
        <w:t>§</w:t>
      </w:r>
      <w:r w:rsidR="003718E8">
        <w:t xml:space="preserve"> 54.1800(o) (defining “Lifeline qualifying assistance program”).</w:t>
      </w:r>
    </w:p>
  </w:footnote>
  <w:footnote w:id="34">
    <w:p w14:paraId="58E1762E" w14:textId="38AB6038" w:rsidR="009958F9" w:rsidRPr="00741738" w:rsidRDefault="009958F9" w:rsidP="006A30D8">
      <w:pPr>
        <w:pStyle w:val="FootnoteText"/>
        <w:spacing w:before="120" w:after="120"/>
      </w:pPr>
      <w:r w:rsidRPr="00741738">
        <w:rPr>
          <w:rStyle w:val="FootnoteReference"/>
        </w:rPr>
        <w:footnoteRef/>
      </w:r>
      <w:r w:rsidRPr="00741738">
        <w:t xml:space="preserve"> </w:t>
      </w:r>
      <w:r w:rsidRPr="009A51DA">
        <w:rPr>
          <w:i/>
          <w:iCs/>
        </w:rPr>
        <w:t>See</w:t>
      </w:r>
      <w:r w:rsidRPr="00741738">
        <w:t xml:space="preserve"> </w:t>
      </w:r>
      <w:r>
        <w:t xml:space="preserve">FCC.gov, </w:t>
      </w:r>
      <w:r w:rsidRPr="00085C53">
        <w:rPr>
          <w:i/>
          <w:iCs/>
        </w:rPr>
        <w:t>Mapping Broadband Health in America</w:t>
      </w:r>
      <w:r w:rsidRPr="00741738">
        <w:t xml:space="preserve">, </w:t>
      </w:r>
      <w:hyperlink r:id="rId18" w:history="1">
        <w:r w:rsidRPr="000F1074">
          <w:rPr>
            <w:rStyle w:val="Hyperlink"/>
          </w:rPr>
          <w:t>https://www.fcc.gov/health/maps</w:t>
        </w:r>
      </w:hyperlink>
      <w:r w:rsidRPr="00741738">
        <w:t xml:space="preserve"> (last visited Sept</w:t>
      </w:r>
      <w:r>
        <w:t>.</w:t>
      </w:r>
      <w:r w:rsidRPr="00741738">
        <w:t xml:space="preserve"> 12, 2022).</w:t>
      </w:r>
    </w:p>
  </w:footnote>
  <w:footnote w:id="35">
    <w:p w14:paraId="077A5B26" w14:textId="486F252F" w:rsidR="00253EB7" w:rsidRPr="005A6FFB" w:rsidRDefault="00253EB7" w:rsidP="00253EB7">
      <w:pPr>
        <w:pStyle w:val="FootnoteText"/>
        <w:rPr>
          <w:color w:val="000000" w:themeColor="text1"/>
        </w:rPr>
      </w:pPr>
      <w:r>
        <w:rPr>
          <w:rStyle w:val="FootnoteReference"/>
        </w:rPr>
        <w:footnoteRef/>
      </w:r>
      <w:r>
        <w:t xml:space="preserve"> </w:t>
      </w:r>
      <w:r w:rsidRPr="00AF1F13">
        <w:rPr>
          <w:i/>
          <w:iCs/>
        </w:rPr>
        <w:t>See</w:t>
      </w:r>
      <w:r>
        <w:t xml:space="preserve"> </w:t>
      </w:r>
      <w:r w:rsidRPr="005A6FFB">
        <w:rPr>
          <w:color w:val="000000" w:themeColor="text1"/>
        </w:rPr>
        <w:t xml:space="preserve">Broadband </w:t>
      </w:r>
      <w:r w:rsidR="009F1ED8" w:rsidRPr="005A6FFB">
        <w:rPr>
          <w:color w:val="000000" w:themeColor="text1"/>
        </w:rPr>
        <w:t>Deployment Accuracy and Technological Availability</w:t>
      </w:r>
      <w:r w:rsidRPr="005A6FFB">
        <w:rPr>
          <w:color w:val="000000" w:themeColor="text1"/>
        </w:rPr>
        <w:t xml:space="preserve"> Act, Pub. L. </w:t>
      </w:r>
      <w:r w:rsidR="00191C3F" w:rsidRPr="005A6FFB">
        <w:rPr>
          <w:color w:val="000000" w:themeColor="text1"/>
        </w:rPr>
        <w:t xml:space="preserve">No. </w:t>
      </w:r>
      <w:r w:rsidRPr="005A6FFB">
        <w:rPr>
          <w:color w:val="000000" w:themeColor="text1"/>
        </w:rPr>
        <w:t>116-130</w:t>
      </w:r>
      <w:r w:rsidR="00191C3F" w:rsidRPr="005A6FFB">
        <w:rPr>
          <w:color w:val="000000" w:themeColor="text1"/>
        </w:rPr>
        <w:t xml:space="preserve">, 134 Stat. 228 </w:t>
      </w:r>
      <w:r w:rsidRPr="005A6FFB">
        <w:rPr>
          <w:color w:val="000000" w:themeColor="text1"/>
        </w:rPr>
        <w:t xml:space="preserve"> (2020)</w:t>
      </w:r>
      <w:r w:rsidR="00191C3F" w:rsidRPr="005A6FFB">
        <w:rPr>
          <w:color w:val="000000" w:themeColor="text1"/>
        </w:rPr>
        <w:t xml:space="preserve"> (codified at 47 U.S.C. §§ 641-646) (Broadband DATA Act)</w:t>
      </w:r>
      <w:r w:rsidRPr="005A6FFB">
        <w:rPr>
          <w:color w:val="000000" w:themeColor="text1"/>
        </w:rPr>
        <w:t xml:space="preserve">.  </w:t>
      </w:r>
      <w:r w:rsidRPr="005A6FFB">
        <w:rPr>
          <w:i/>
          <w:iCs/>
          <w:color w:val="000000" w:themeColor="text1"/>
        </w:rPr>
        <w:t>See also</w:t>
      </w:r>
      <w:r w:rsidRPr="005A6FFB">
        <w:rPr>
          <w:color w:val="000000" w:themeColor="text1"/>
        </w:rPr>
        <w:t xml:space="preserve"> FCC.gov, </w:t>
      </w:r>
      <w:r w:rsidRPr="005A6FFB">
        <w:rPr>
          <w:i/>
          <w:iCs/>
          <w:color w:val="000000" w:themeColor="text1"/>
        </w:rPr>
        <w:t>Status Update: Mapping Where Broadband Is – and Is Not – Available in the U.S.</w:t>
      </w:r>
      <w:r w:rsidRPr="005A6FFB">
        <w:rPr>
          <w:color w:val="000000" w:themeColor="text1"/>
        </w:rPr>
        <w:t xml:space="preserve">, </w:t>
      </w:r>
      <w:r w:rsidR="00191C3F" w:rsidRPr="005A6FFB">
        <w:rPr>
          <w:color w:val="000000" w:themeColor="text1"/>
        </w:rPr>
        <w:t xml:space="preserve">(Jun. 30, 2022), </w:t>
      </w:r>
      <w:hyperlink r:id="rId19" w:history="1">
        <w:r w:rsidRPr="000F1074">
          <w:rPr>
            <w:rStyle w:val="Hyperlink"/>
          </w:rPr>
          <w:t>https://www.fcc.gov/news-events/notes/2022/06/30/status-update-mapping-where-broadband-and-not-available-us</w:t>
        </w:r>
      </w:hyperlink>
      <w:r w:rsidRPr="005A6FFB">
        <w:rPr>
          <w:color w:val="000000" w:themeColor="text1"/>
        </w:rPr>
        <w:t>.</w:t>
      </w:r>
    </w:p>
  </w:footnote>
  <w:footnote w:id="36">
    <w:p w14:paraId="7C076CEF" w14:textId="454115B7" w:rsidR="00253EB7" w:rsidRPr="005A6FFB" w:rsidRDefault="00253EB7" w:rsidP="00253EB7">
      <w:pPr>
        <w:pStyle w:val="FootnoteText"/>
        <w:spacing w:before="120" w:after="120"/>
        <w:rPr>
          <w:color w:val="000000" w:themeColor="text1"/>
        </w:rPr>
      </w:pPr>
      <w:r w:rsidRPr="005A6FFB">
        <w:rPr>
          <w:rStyle w:val="FootnoteReference"/>
          <w:color w:val="000000" w:themeColor="text1"/>
        </w:rPr>
        <w:footnoteRef/>
      </w:r>
      <w:r w:rsidRPr="005A6FFB">
        <w:rPr>
          <w:color w:val="000000" w:themeColor="text1"/>
        </w:rPr>
        <w:t xml:space="preserve"> </w:t>
      </w:r>
      <w:r w:rsidRPr="005A6FFB">
        <w:rPr>
          <w:i/>
          <w:iCs/>
          <w:color w:val="000000" w:themeColor="text1"/>
        </w:rPr>
        <w:t>See</w:t>
      </w:r>
      <w:r w:rsidRPr="005A6FFB">
        <w:rPr>
          <w:color w:val="000000" w:themeColor="text1"/>
        </w:rPr>
        <w:t xml:space="preserve"> FCC.gov, </w:t>
      </w:r>
      <w:r w:rsidRPr="005A6FFB">
        <w:rPr>
          <w:i/>
          <w:iCs/>
          <w:color w:val="000000" w:themeColor="text1"/>
        </w:rPr>
        <w:t>Another Step Toward Better Broadband Maps</w:t>
      </w:r>
      <w:r w:rsidRPr="005A6FFB">
        <w:rPr>
          <w:color w:val="000000" w:themeColor="text1"/>
        </w:rPr>
        <w:t xml:space="preserve">, </w:t>
      </w:r>
      <w:r w:rsidR="00191C3F" w:rsidRPr="005A6FFB">
        <w:rPr>
          <w:color w:val="000000" w:themeColor="text1"/>
        </w:rPr>
        <w:t xml:space="preserve">(Sept. 2, 2022), </w:t>
      </w:r>
      <w:hyperlink r:id="rId20" w:history="1">
        <w:r w:rsidRPr="000F1074">
          <w:rPr>
            <w:rStyle w:val="Hyperlink"/>
          </w:rPr>
          <w:t>https://www.fcc.gov/news-events/notes/2022/09/02/another-step-toward-better-broadband-maps</w:t>
        </w:r>
      </w:hyperlink>
      <w:r w:rsidRPr="005A6FFB">
        <w:rPr>
          <w:color w:val="000000" w:themeColor="text1"/>
        </w:rPr>
        <w:t>.</w:t>
      </w:r>
    </w:p>
  </w:footnote>
  <w:footnote w:id="37">
    <w:p w14:paraId="43EB0C81" w14:textId="490AC148" w:rsidR="00253EB7" w:rsidRPr="00203B22" w:rsidRDefault="00253EB7" w:rsidP="00253EB7">
      <w:pPr>
        <w:pStyle w:val="FootnoteText"/>
        <w:spacing w:before="120" w:after="120"/>
      </w:pPr>
      <w:r w:rsidRPr="005A6FFB">
        <w:rPr>
          <w:rStyle w:val="FootnoteReference"/>
          <w:color w:val="000000" w:themeColor="text1"/>
        </w:rPr>
        <w:footnoteRef/>
      </w:r>
      <w:r w:rsidRPr="005A6FFB">
        <w:rPr>
          <w:color w:val="000000" w:themeColor="text1"/>
        </w:rPr>
        <w:t xml:space="preserve"> </w:t>
      </w:r>
      <w:r w:rsidRPr="005A6FFB">
        <w:rPr>
          <w:i/>
          <w:iCs/>
          <w:color w:val="000000" w:themeColor="text1"/>
        </w:rPr>
        <w:t>See</w:t>
      </w:r>
      <w:r w:rsidRPr="005A6FFB">
        <w:rPr>
          <w:color w:val="000000" w:themeColor="text1"/>
        </w:rPr>
        <w:t xml:space="preserve"> FCC.gov, </w:t>
      </w:r>
      <w:r w:rsidRPr="005A6FFB">
        <w:rPr>
          <w:i/>
          <w:iCs/>
          <w:color w:val="000000" w:themeColor="text1"/>
        </w:rPr>
        <w:t>What is the Location Fabric?</w:t>
      </w:r>
      <w:r w:rsidRPr="005A6FFB">
        <w:rPr>
          <w:color w:val="000000" w:themeColor="text1"/>
        </w:rPr>
        <w:t xml:space="preserve"> </w:t>
      </w:r>
      <w:r w:rsidR="00191C3F" w:rsidRPr="005A6FFB">
        <w:rPr>
          <w:color w:val="000000" w:themeColor="text1"/>
        </w:rPr>
        <w:t xml:space="preserve">(Sept. 12, 2022), </w:t>
      </w:r>
      <w:hyperlink r:id="rId21" w:history="1">
        <w:r w:rsidRPr="005F035E">
          <w:rPr>
            <w:rStyle w:val="Hyperlink"/>
          </w:rPr>
          <w:t>https://help.bdc.fcc.gov/hc/en-us/articles/5375384069659-What-is-the-Location-Fabric-</w:t>
        </w:r>
      </w:hyperlink>
      <w:r w:rsidRPr="00203B22">
        <w:t xml:space="preserve"> (a mix of data sources, including parcel data, land and tax records, satellite imagery, and address databases were used to identify serviceable locations)</w:t>
      </w:r>
      <w:r w:rsidRPr="00203B22">
        <w:rPr>
          <w:rStyle w:val="normaltextrun"/>
        </w:rPr>
        <w:t>.</w:t>
      </w:r>
    </w:p>
  </w:footnote>
  <w:footnote w:id="38">
    <w:p w14:paraId="0988E75A" w14:textId="1FD27E48" w:rsidR="00C3530D" w:rsidRDefault="00C3530D">
      <w:pPr>
        <w:pStyle w:val="FootnoteText"/>
      </w:pPr>
      <w:r>
        <w:rPr>
          <w:rStyle w:val="FootnoteReference"/>
        </w:rPr>
        <w:footnoteRef/>
      </w:r>
      <w:r>
        <w:t xml:space="preserve"> </w:t>
      </w:r>
      <w:r>
        <w:rPr>
          <w:i/>
          <w:iCs/>
        </w:rPr>
        <w:t xml:space="preserve">See </w:t>
      </w:r>
      <w:r>
        <w:t xml:space="preserve">FCC.gov, </w:t>
      </w:r>
      <w:r w:rsidRPr="00C3530D">
        <w:rPr>
          <w:i/>
          <w:iCs/>
        </w:rPr>
        <w:t>Access to Fabric for Third-Party Stakeholders Announced</w:t>
      </w:r>
      <w:r>
        <w:t xml:space="preserve"> (Nov. 15, 2022) </w:t>
      </w:r>
      <w:hyperlink r:id="rId22" w:history="1">
        <w:r w:rsidRPr="009355A8">
          <w:rPr>
            <w:rStyle w:val="Hyperlink"/>
          </w:rPr>
          <w:t>https://www.fcc.gov/document/access-fabric-third-party-stakeholders-announced</w:t>
        </w:r>
      </w:hyperlink>
      <w:r>
        <w:t>.</w:t>
      </w:r>
    </w:p>
    <w:p w14:paraId="7062DCBD" w14:textId="77777777" w:rsidR="00C3530D" w:rsidRPr="00C3530D" w:rsidRDefault="00C3530D">
      <w:pPr>
        <w:pStyle w:val="FootnoteText"/>
      </w:pPr>
    </w:p>
  </w:footnote>
  <w:footnote w:id="39">
    <w:p w14:paraId="33657D36" w14:textId="4EA0B0B1" w:rsidR="00471426" w:rsidRPr="008A4FCE" w:rsidRDefault="008A4FCE">
      <w:pPr>
        <w:pStyle w:val="FootnoteText"/>
      </w:pPr>
      <w:r>
        <w:rPr>
          <w:rStyle w:val="FootnoteReference"/>
        </w:rPr>
        <w:footnoteRef/>
      </w:r>
      <w:r>
        <w:t xml:space="preserve"> See </w:t>
      </w:r>
      <w:r>
        <w:rPr>
          <w:i/>
          <w:iCs/>
        </w:rPr>
        <w:t>Inaugural Filing Window for Broadband Data Collection Has Opened, Filers May Begin Submitting Broadband Availability Data</w:t>
      </w:r>
      <w:r>
        <w:t xml:space="preserve">, </w:t>
      </w:r>
      <w:r w:rsidR="00471426">
        <w:t xml:space="preserve">Public Notice, DA 22-696 (Jun. 30, 2022), </w:t>
      </w:r>
      <w:hyperlink r:id="rId23" w:history="1">
        <w:r w:rsidR="00471426" w:rsidRPr="0026574D">
          <w:rPr>
            <w:rStyle w:val="Hyperlink"/>
          </w:rPr>
          <w:t>https://www.fcc.gov/document/inaugural-broadband-data-collection-filing-window-opens</w:t>
        </w:r>
      </w:hyperlink>
      <w:r w:rsidR="003F1712">
        <w:t xml:space="preserve"> (BDTF).</w:t>
      </w:r>
    </w:p>
  </w:footnote>
  <w:footnote w:id="40">
    <w:p w14:paraId="2B4B781F" w14:textId="08CE6645" w:rsidR="00253EB7" w:rsidRPr="00203B22" w:rsidRDefault="00253EB7" w:rsidP="00253EB7">
      <w:pPr>
        <w:pStyle w:val="FootnoteText"/>
        <w:spacing w:before="120" w:after="120"/>
      </w:pPr>
      <w:r w:rsidRPr="00203B22">
        <w:rPr>
          <w:rStyle w:val="FootnoteReference"/>
        </w:rPr>
        <w:footnoteRef/>
      </w:r>
      <w:r w:rsidRPr="00203B22">
        <w:t xml:space="preserve"> </w:t>
      </w:r>
      <w:r w:rsidRPr="00203B22">
        <w:rPr>
          <w:i/>
          <w:iCs/>
        </w:rPr>
        <w:t>See</w:t>
      </w:r>
      <w:r w:rsidRPr="00203B22">
        <w:t xml:space="preserve"> Broadband Data Task Force, </w:t>
      </w:r>
      <w:r w:rsidRPr="00203B22">
        <w:rPr>
          <w:i/>
          <w:iCs/>
        </w:rPr>
        <w:t>Broadband Serviceable Location Fabric: An Overview for Fixed Availability Data Filers</w:t>
      </w:r>
      <w:r w:rsidRPr="00203B22">
        <w:t>, YouTube (May 21, 2022)</w:t>
      </w:r>
      <w:r w:rsidR="00E95247">
        <w:t>,</w:t>
      </w:r>
      <w:r w:rsidRPr="00203B22">
        <w:t xml:space="preserve"> </w:t>
      </w:r>
      <w:hyperlink r:id="rId24" w:history="1">
        <w:r w:rsidRPr="005F035E">
          <w:rPr>
            <w:rStyle w:val="Hyperlink"/>
          </w:rPr>
          <w:t>https://www.youtube.com/watch?v=tCmWMk_DSOg&amp;t=</w:t>
        </w:r>
      </w:hyperlink>
    </w:p>
  </w:footnote>
  <w:footnote w:id="41">
    <w:p w14:paraId="094C0D24" w14:textId="4514439B" w:rsidR="00253EB7" w:rsidRPr="006123D6" w:rsidRDefault="00253EB7" w:rsidP="00253EB7">
      <w:pPr>
        <w:pStyle w:val="FootnoteText"/>
        <w:spacing w:after="120"/>
      </w:pPr>
      <w:r>
        <w:rPr>
          <w:rStyle w:val="FootnoteReference"/>
        </w:rPr>
        <w:footnoteRef/>
      </w:r>
      <w:r>
        <w:t xml:space="preserve"> </w:t>
      </w:r>
      <w:r>
        <w:rPr>
          <w:i/>
          <w:iCs/>
        </w:rPr>
        <w:t xml:space="preserve">See </w:t>
      </w:r>
      <w:r>
        <w:t xml:space="preserve">FCC.gov, </w:t>
      </w:r>
      <w:r>
        <w:rPr>
          <w:i/>
          <w:iCs/>
        </w:rPr>
        <w:t>Formatting Mobile Broadband Availability Coverage Maps</w:t>
      </w:r>
      <w:r>
        <w:t xml:space="preserve">, </w:t>
      </w:r>
      <w:r w:rsidR="00E95247">
        <w:t xml:space="preserve">(Jun. 21, 2022), </w:t>
      </w:r>
      <w:hyperlink r:id="rId25" w:history="1">
        <w:r w:rsidR="00AA6C0E" w:rsidRPr="005F035E">
          <w:rPr>
            <w:rStyle w:val="Hyperlink"/>
          </w:rPr>
          <w:t>https://help.bdc.fcc.gov/hc/en-us/articles/6047425308187-Formatting-Mobile-Broadband-Availability-Coverage-Maps-</w:t>
        </w:r>
      </w:hyperlink>
      <w:r>
        <w:t xml:space="preserve">. </w:t>
      </w:r>
    </w:p>
  </w:footnote>
  <w:footnote w:id="42">
    <w:p w14:paraId="3F084F09" w14:textId="77777777" w:rsidR="00AE1789" w:rsidRPr="007A5956" w:rsidRDefault="00AE1789" w:rsidP="00AE1789">
      <w:pPr>
        <w:pStyle w:val="FootnoteText"/>
      </w:pPr>
      <w:r>
        <w:rPr>
          <w:rStyle w:val="FootnoteReference"/>
        </w:rPr>
        <w:footnoteRef/>
      </w:r>
      <w:r>
        <w:t xml:space="preserve"> </w:t>
      </w:r>
      <w:r w:rsidRPr="00AA6C0E">
        <w:rPr>
          <w:i/>
          <w:iCs/>
        </w:rPr>
        <w:t>See</w:t>
      </w:r>
      <w:r>
        <w:t xml:space="preserve"> </w:t>
      </w:r>
      <w:r w:rsidRPr="00430EC4">
        <w:rPr>
          <w:i/>
          <w:iCs/>
        </w:rPr>
        <w:t>Broadband Data Task Force, Wireline Competition Bureau, and Office of Economics and Analytics Announce Start of Fabric Bulk Challenge Process</w:t>
      </w:r>
      <w:r>
        <w:t xml:space="preserve">, WC Docket Nos. 11-10, 19-195, Public Notice, DA 22-913 (BDTF, WCB, OEA Sept. 2, 2022). </w:t>
      </w:r>
    </w:p>
  </w:footnote>
  <w:footnote w:id="43">
    <w:p w14:paraId="3CCCDAB8" w14:textId="77777777" w:rsidR="00AE1789" w:rsidRPr="00393B86" w:rsidRDefault="00AE1789" w:rsidP="00AE1789">
      <w:pPr>
        <w:pStyle w:val="FootnoteText"/>
        <w:spacing w:before="120" w:after="120"/>
      </w:pPr>
      <w:r w:rsidRPr="00203B22">
        <w:rPr>
          <w:rStyle w:val="FootnoteReference"/>
        </w:rPr>
        <w:footnoteRef/>
      </w:r>
      <w:r w:rsidRPr="00203B22">
        <w:t xml:space="preserve"> </w:t>
      </w:r>
      <w:r w:rsidRPr="00203B22">
        <w:rPr>
          <w:i/>
          <w:iCs/>
        </w:rPr>
        <w:t>See</w:t>
      </w:r>
      <w:r w:rsidRPr="00203B22">
        <w:t xml:space="preserve"> Broadband Data Task Force, </w:t>
      </w:r>
      <w:r w:rsidRPr="00203B22">
        <w:rPr>
          <w:i/>
          <w:iCs/>
        </w:rPr>
        <w:t>Broadband Serviceable Location Fabric Bulk Challenge Process Webinar</w:t>
      </w:r>
      <w:r w:rsidRPr="00203B22">
        <w:t xml:space="preserve">, YouTube (Sept. 8, 2022), </w:t>
      </w:r>
      <w:hyperlink r:id="rId26" w:history="1">
        <w:r w:rsidRPr="005F035E">
          <w:rPr>
            <w:rStyle w:val="Hyperlink"/>
          </w:rPr>
          <w:t>https://www.youtube.com/watch?v=vb7vIORyH54&amp;t</w:t>
        </w:r>
      </w:hyperlink>
      <w:r>
        <w:t xml:space="preserve">. </w:t>
      </w:r>
    </w:p>
  </w:footnote>
  <w:footnote w:id="44">
    <w:p w14:paraId="4371DED4" w14:textId="18EA04D6" w:rsidR="00253EB7" w:rsidRPr="00ED60E3" w:rsidRDefault="00253EB7" w:rsidP="00253EB7">
      <w:pPr>
        <w:pStyle w:val="FootnoteText"/>
        <w:spacing w:before="120" w:after="120"/>
        <w:rPr>
          <w:color w:val="000000" w:themeColor="text1"/>
        </w:rPr>
      </w:pPr>
      <w:r w:rsidRPr="00203B22">
        <w:rPr>
          <w:rStyle w:val="FootnoteReference"/>
        </w:rPr>
        <w:footnoteRef/>
      </w:r>
      <w:r w:rsidRPr="00203B22">
        <w:t xml:space="preserve"> </w:t>
      </w:r>
      <w:r w:rsidRPr="00203B22">
        <w:rPr>
          <w:i/>
          <w:iCs/>
        </w:rPr>
        <w:t>See</w:t>
      </w:r>
      <w:r w:rsidRPr="00203B22">
        <w:t xml:space="preserve"> FCC.gov, </w:t>
      </w:r>
      <w:r w:rsidR="00ED60E3">
        <w:rPr>
          <w:i/>
          <w:iCs/>
        </w:rPr>
        <w:t>FCC Releases New National Broadband Maps</w:t>
      </w:r>
      <w:r w:rsidRPr="00AA6C0E">
        <w:rPr>
          <w:color w:val="000000" w:themeColor="text1"/>
        </w:rPr>
        <w:t xml:space="preserve">, </w:t>
      </w:r>
      <w:r w:rsidR="00191C3F" w:rsidRPr="00AA6C0E">
        <w:rPr>
          <w:color w:val="000000" w:themeColor="text1"/>
        </w:rPr>
        <w:t>(</w:t>
      </w:r>
      <w:r w:rsidR="00ED60E3">
        <w:rPr>
          <w:color w:val="000000" w:themeColor="text1"/>
        </w:rPr>
        <w:t>Nov. 18</w:t>
      </w:r>
      <w:r w:rsidR="00191C3F" w:rsidRPr="00AA6C0E">
        <w:rPr>
          <w:color w:val="000000" w:themeColor="text1"/>
        </w:rPr>
        <w:t>, 2022),</w:t>
      </w:r>
      <w:r w:rsidR="00ED60E3" w:rsidRPr="00ED60E3">
        <w:t xml:space="preserve"> </w:t>
      </w:r>
      <w:hyperlink r:id="rId27" w:history="1">
        <w:r w:rsidR="00ED60E3" w:rsidRPr="0050284C">
          <w:rPr>
            <w:rStyle w:val="Hyperlink"/>
          </w:rPr>
          <w:t>https://www.fcc.gov/document/fcc-releases-new-national-broadband-maps</w:t>
        </w:r>
      </w:hyperlink>
      <w:r>
        <w:t>.</w:t>
      </w:r>
    </w:p>
  </w:footnote>
  <w:footnote w:id="45">
    <w:p w14:paraId="027E5425" w14:textId="54A87B17" w:rsidR="00253EB7" w:rsidRPr="00203B22" w:rsidRDefault="00253EB7" w:rsidP="00253EB7">
      <w:pPr>
        <w:pStyle w:val="FootnoteText"/>
        <w:spacing w:before="120" w:after="120"/>
      </w:pPr>
      <w:bookmarkStart w:id="30" w:name="_Hlk117148393"/>
      <w:r w:rsidRPr="00203B22">
        <w:rPr>
          <w:rStyle w:val="FootnoteReference"/>
        </w:rPr>
        <w:footnoteRef/>
      </w:r>
      <w:r w:rsidRPr="00203B22">
        <w:t xml:space="preserve"> </w:t>
      </w:r>
      <w:r w:rsidRPr="00203B22">
        <w:rPr>
          <w:i/>
          <w:iCs/>
        </w:rPr>
        <w:t>See</w:t>
      </w:r>
      <w:r w:rsidRPr="00203B22">
        <w:t xml:space="preserve"> FCC.gov, </w:t>
      </w:r>
      <w:r w:rsidR="00AE62E6">
        <w:rPr>
          <w:i/>
          <w:iCs/>
        </w:rPr>
        <w:t>Broadband Data Collections Challenge Processes</w:t>
      </w:r>
      <w:r w:rsidR="00AE1789" w:rsidRPr="006A40C8">
        <w:rPr>
          <w:color w:val="000000" w:themeColor="text1"/>
        </w:rPr>
        <w:t>,</w:t>
      </w:r>
      <w:r w:rsidR="003A0161" w:rsidRPr="006A40C8">
        <w:rPr>
          <w:color w:val="000000" w:themeColor="text1"/>
        </w:rPr>
        <w:t xml:space="preserve"> </w:t>
      </w:r>
      <w:hyperlink r:id="rId28" w:history="1">
        <w:r w:rsidR="00AA6C0E" w:rsidRPr="005F035E">
          <w:rPr>
            <w:rStyle w:val="Hyperlink"/>
          </w:rPr>
          <w:t>https://www.fcc.gov/sites/default/files/bdc-challenge-overview.pdf</w:t>
        </w:r>
      </w:hyperlink>
      <w:r w:rsidR="00A32EA7">
        <w:t xml:space="preserve"> (last visited Oct. 20, 2022)</w:t>
      </w:r>
      <w:r w:rsidRPr="00203B22">
        <w:t>.</w:t>
      </w:r>
      <w:bookmarkEnd w:id="30"/>
    </w:p>
  </w:footnote>
  <w:footnote w:id="46">
    <w:p w14:paraId="55E8FEB5" w14:textId="437CEBFD" w:rsidR="009958F9" w:rsidRPr="00296706" w:rsidRDefault="009958F9" w:rsidP="00393B86">
      <w:pPr>
        <w:pStyle w:val="FootnoteText"/>
        <w:spacing w:before="120" w:after="120"/>
        <w:rPr>
          <w:color w:val="000000" w:themeColor="text1"/>
        </w:rPr>
      </w:pPr>
      <w:r w:rsidRPr="00393B86">
        <w:rPr>
          <w:rStyle w:val="FootnoteReference"/>
        </w:rPr>
        <w:footnoteRef/>
      </w:r>
      <w:r w:rsidRPr="00393B86">
        <w:t xml:space="preserve"> </w:t>
      </w:r>
      <w:r w:rsidRPr="00393B86">
        <w:rPr>
          <w:i/>
          <w:iCs/>
        </w:rPr>
        <w:t>See</w:t>
      </w:r>
      <w:r w:rsidRPr="00393B86">
        <w:t xml:space="preserve"> Rural Health Information </w:t>
      </w:r>
      <w:r w:rsidRPr="00A86673">
        <w:t xml:space="preserve">Hub, </w:t>
      </w:r>
      <w:r w:rsidRPr="00A86673">
        <w:rPr>
          <w:i/>
          <w:iCs/>
        </w:rPr>
        <w:t xml:space="preserve">Implementation Considerations for </w:t>
      </w:r>
      <w:r w:rsidRPr="00296706">
        <w:rPr>
          <w:i/>
          <w:iCs/>
          <w:color w:val="000000" w:themeColor="text1"/>
        </w:rPr>
        <w:t>Tribal Telehealth Programs</w:t>
      </w:r>
      <w:r w:rsidRPr="00296706">
        <w:rPr>
          <w:color w:val="000000" w:themeColor="text1"/>
        </w:rPr>
        <w:t xml:space="preserve">, </w:t>
      </w:r>
      <w:r w:rsidR="009A3347" w:rsidRPr="00296706">
        <w:rPr>
          <w:color w:val="000000" w:themeColor="text1"/>
        </w:rPr>
        <w:t xml:space="preserve">(May 21, 2019), </w:t>
      </w:r>
      <w:hyperlink r:id="rId29" w:history="1">
        <w:r w:rsidRPr="005F035E">
          <w:rPr>
            <w:rStyle w:val="Hyperlink"/>
          </w:rPr>
          <w:t>https://www.ruralhealthinfo.org/toolkits/telehealth/4/specific-populations/tribes</w:t>
        </w:r>
      </w:hyperlink>
      <w:r w:rsidRPr="00296706">
        <w:rPr>
          <w:color w:val="000000" w:themeColor="text1"/>
        </w:rPr>
        <w:t>.</w:t>
      </w:r>
    </w:p>
  </w:footnote>
  <w:footnote w:id="47">
    <w:p w14:paraId="2A50A73E" w14:textId="595AF2A2" w:rsidR="009958F9" w:rsidRPr="00296706" w:rsidRDefault="009958F9" w:rsidP="00085C53">
      <w:pPr>
        <w:pStyle w:val="FootnoteText"/>
        <w:spacing w:before="120" w:after="120"/>
        <w:rPr>
          <w:color w:val="000000" w:themeColor="text1"/>
        </w:rPr>
      </w:pPr>
      <w:r w:rsidRPr="00296706">
        <w:rPr>
          <w:rStyle w:val="FootnoteReference"/>
          <w:color w:val="000000" w:themeColor="text1"/>
        </w:rPr>
        <w:footnoteRef/>
      </w:r>
      <w:r w:rsidRPr="00296706">
        <w:rPr>
          <w:color w:val="000000" w:themeColor="text1"/>
        </w:rPr>
        <w:t xml:space="preserve"> </w:t>
      </w:r>
      <w:r w:rsidRPr="00296706">
        <w:rPr>
          <w:i/>
          <w:iCs/>
          <w:color w:val="000000" w:themeColor="text1"/>
        </w:rPr>
        <w:t>See</w:t>
      </w:r>
      <w:r w:rsidRPr="00296706">
        <w:rPr>
          <w:color w:val="000000" w:themeColor="text1"/>
        </w:rPr>
        <w:t xml:space="preserve"> Telehealth.HHS.gov, </w:t>
      </w:r>
      <w:r w:rsidRPr="00296706">
        <w:rPr>
          <w:i/>
          <w:iCs/>
          <w:color w:val="000000" w:themeColor="text1"/>
        </w:rPr>
        <w:t>Telehealth for American Indian and Alaska Native Communities</w:t>
      </w:r>
      <w:r w:rsidRPr="00296706">
        <w:rPr>
          <w:color w:val="000000" w:themeColor="text1"/>
        </w:rPr>
        <w:t xml:space="preserve">, </w:t>
      </w:r>
      <w:r w:rsidR="009A3347" w:rsidRPr="00296706">
        <w:rPr>
          <w:color w:val="000000" w:themeColor="text1"/>
        </w:rPr>
        <w:t xml:space="preserve">(May 13, 2022), </w:t>
      </w:r>
      <w:hyperlink r:id="rId30" w:history="1">
        <w:r w:rsidRPr="005F035E">
          <w:rPr>
            <w:rStyle w:val="Hyperlink"/>
          </w:rPr>
          <w:t>https://telehealth.hhs.gov/providers/telehealth-for-american-indian-communities/getting-started/</w:t>
        </w:r>
      </w:hyperlink>
      <w:r w:rsidRPr="00296706">
        <w:rPr>
          <w:color w:val="000000" w:themeColor="text1"/>
        </w:rPr>
        <w:t>.</w:t>
      </w:r>
    </w:p>
  </w:footnote>
  <w:footnote w:id="48">
    <w:p w14:paraId="72F1AEB4" w14:textId="210E5EF7" w:rsidR="009958F9" w:rsidRPr="006A5484" w:rsidRDefault="009958F9" w:rsidP="00085C53">
      <w:pPr>
        <w:pStyle w:val="NormalWeb"/>
        <w:shd w:val="clear" w:color="auto" w:fill="FFFFFF"/>
        <w:spacing w:before="120" w:beforeAutospacing="0" w:after="120" w:afterAutospacing="0"/>
        <w:rPr>
          <w:sz w:val="20"/>
          <w:szCs w:val="20"/>
        </w:rPr>
      </w:pPr>
      <w:r w:rsidRPr="00296706">
        <w:rPr>
          <w:rStyle w:val="FootnoteReference"/>
          <w:color w:val="000000" w:themeColor="text1"/>
          <w:sz w:val="20"/>
          <w:szCs w:val="20"/>
        </w:rPr>
        <w:footnoteRef/>
      </w:r>
      <w:r w:rsidRPr="00296706">
        <w:rPr>
          <w:color w:val="000000" w:themeColor="text1"/>
          <w:sz w:val="20"/>
          <w:szCs w:val="20"/>
        </w:rPr>
        <w:t xml:space="preserve"> </w:t>
      </w:r>
      <w:r w:rsidRPr="00296706">
        <w:rPr>
          <w:i/>
          <w:iCs/>
          <w:color w:val="000000" w:themeColor="text1"/>
          <w:sz w:val="20"/>
          <w:szCs w:val="20"/>
        </w:rPr>
        <w:t>See</w:t>
      </w:r>
      <w:r w:rsidRPr="00296706">
        <w:rPr>
          <w:color w:val="000000" w:themeColor="text1"/>
          <w:sz w:val="20"/>
          <w:szCs w:val="20"/>
        </w:rPr>
        <w:t xml:space="preserve"> GAO.gov, </w:t>
      </w:r>
      <w:r w:rsidRPr="00296706">
        <w:rPr>
          <w:i/>
          <w:iCs/>
          <w:color w:val="000000" w:themeColor="text1"/>
          <w:sz w:val="20"/>
          <w:szCs w:val="20"/>
        </w:rPr>
        <w:t>Indian Health Service: Relief Funding and Agency Response to COVID-19 Pandemic</w:t>
      </w:r>
      <w:r w:rsidRPr="00296706">
        <w:rPr>
          <w:color w:val="000000" w:themeColor="text1"/>
          <w:sz w:val="20"/>
          <w:szCs w:val="20"/>
        </w:rPr>
        <w:t xml:space="preserve">, </w:t>
      </w:r>
      <w:r w:rsidR="009A3347" w:rsidRPr="00296706">
        <w:rPr>
          <w:color w:val="000000" w:themeColor="text1"/>
          <w:sz w:val="20"/>
          <w:szCs w:val="20"/>
        </w:rPr>
        <w:t xml:space="preserve">(Mar. 31, 2022), </w:t>
      </w:r>
      <w:hyperlink r:id="rId31" w:history="1">
        <w:r w:rsidRPr="005F035E">
          <w:rPr>
            <w:rStyle w:val="Hyperlink"/>
            <w:sz w:val="20"/>
            <w:szCs w:val="20"/>
          </w:rPr>
          <w:t>https://www.gao.gov/products/gao-22-104360</w:t>
        </w:r>
      </w:hyperlink>
      <w:r w:rsidRPr="00296706">
        <w:rPr>
          <w:color w:val="000000" w:themeColor="text1"/>
          <w:sz w:val="20"/>
          <w:szCs w:val="20"/>
        </w:rPr>
        <w:t>, (“Indian Health Service provides health care to</w:t>
      </w:r>
      <w:r w:rsidR="002065B5" w:rsidRPr="00296706">
        <w:rPr>
          <w:color w:val="000000" w:themeColor="text1"/>
          <w:sz w:val="20"/>
          <w:szCs w:val="20"/>
        </w:rPr>
        <w:t xml:space="preserve"> </w:t>
      </w:r>
      <w:r w:rsidRPr="00296706">
        <w:rPr>
          <w:color w:val="000000" w:themeColor="text1"/>
          <w:sz w:val="20"/>
          <w:szCs w:val="20"/>
        </w:rPr>
        <w:t>2.6 million American Indians and Alaskan Natives. Outdated facilities, few inpatient beds, and health care provider shortages make IHS's pandemic response especially challenging.  IHS too</w:t>
      </w:r>
      <w:r w:rsidRPr="006A5484">
        <w:rPr>
          <w:sz w:val="20"/>
          <w:szCs w:val="20"/>
        </w:rPr>
        <w:t>k steps to mitigate these challenges by using its $9 billion in </w:t>
      </w:r>
      <w:r w:rsidRPr="009A51DA">
        <w:rPr>
          <w:sz w:val="20"/>
          <w:szCs w:val="20"/>
        </w:rPr>
        <w:t>COVID-19</w:t>
      </w:r>
      <w:r w:rsidRPr="006A5484">
        <w:rPr>
          <w:sz w:val="20"/>
          <w:szCs w:val="20"/>
        </w:rPr>
        <w:t> relief funding to address immediate and longstanding needs, e.g., covering vaccine- and testing-related costs and implementing a video telehealth system.  IHS also adjusted its care delivery, changed policies, and coordinated with partners. For example, it worked with the Veterans Health Administration to help meet its staffing needs.”).</w:t>
      </w:r>
    </w:p>
  </w:footnote>
  <w:footnote w:id="49">
    <w:p w14:paraId="25E80226" w14:textId="78770B4C" w:rsidR="009958F9" w:rsidRPr="006A5484" w:rsidRDefault="009958F9" w:rsidP="004B6308">
      <w:pPr>
        <w:pStyle w:val="FootnoteText"/>
        <w:spacing w:before="120" w:after="120"/>
      </w:pPr>
      <w:r w:rsidRPr="006A5484">
        <w:rPr>
          <w:rStyle w:val="FootnoteReference"/>
        </w:rPr>
        <w:footnoteRef/>
      </w:r>
      <w:r w:rsidRPr="006A5484">
        <w:t xml:space="preserve"> </w:t>
      </w:r>
      <w:r w:rsidRPr="003003E6">
        <w:rPr>
          <w:i/>
          <w:iCs/>
        </w:rPr>
        <w:t>See</w:t>
      </w:r>
      <w:r w:rsidRPr="006A5484">
        <w:t xml:space="preserve"> IHS.gov, </w:t>
      </w:r>
      <w:r w:rsidRPr="006A5484">
        <w:rPr>
          <w:i/>
          <w:iCs/>
        </w:rPr>
        <w:t>IHS Telehealth Programs</w:t>
      </w:r>
      <w:r w:rsidRPr="006A5484">
        <w:t xml:space="preserve">, </w:t>
      </w:r>
      <w:hyperlink r:id="rId32" w:history="1">
        <w:r w:rsidR="00E35603" w:rsidRPr="005F035E">
          <w:rPr>
            <w:rStyle w:val="Hyperlink"/>
          </w:rPr>
          <w:t>https://www.ihs.gov/telehealth/telehealthprograms/</w:t>
        </w:r>
      </w:hyperlink>
      <w:r w:rsidR="00A81504">
        <w:t xml:space="preserve"> </w:t>
      </w:r>
      <w:r w:rsidRPr="006A5484">
        <w:t>(last visited Sept. 14, 2022).</w:t>
      </w:r>
    </w:p>
  </w:footnote>
  <w:footnote w:id="50">
    <w:p w14:paraId="65608849" w14:textId="77777777" w:rsidR="000F69C7" w:rsidRPr="006A4CDC" w:rsidRDefault="000F69C7" w:rsidP="000F69C7">
      <w:pPr>
        <w:pStyle w:val="FootnoteText"/>
        <w:spacing w:after="120"/>
      </w:pPr>
      <w:r>
        <w:rPr>
          <w:rStyle w:val="FootnoteReference"/>
        </w:rPr>
        <w:footnoteRef/>
      </w:r>
      <w:r>
        <w:t xml:space="preserve"> </w:t>
      </w:r>
      <w:r>
        <w:rPr>
          <w:i/>
          <w:iCs/>
        </w:rPr>
        <w:t>COVID-19 Telehealth Program Order</w:t>
      </w:r>
      <w:r>
        <w:t xml:space="preserve">, 35 FCC Rcd at 3377, para. 19. </w:t>
      </w:r>
    </w:p>
  </w:footnote>
  <w:footnote w:id="51">
    <w:p w14:paraId="0B7FC268" w14:textId="35EDD62A" w:rsidR="009958F9" w:rsidRPr="006A5484" w:rsidRDefault="009958F9" w:rsidP="004B6308">
      <w:pPr>
        <w:pStyle w:val="FootnoteText"/>
        <w:spacing w:before="120" w:after="120"/>
      </w:pPr>
      <w:r w:rsidRPr="006A5484">
        <w:rPr>
          <w:rStyle w:val="FootnoteReference"/>
        </w:rPr>
        <w:footnoteRef/>
      </w:r>
      <w:r w:rsidRPr="006A5484">
        <w:t xml:space="preserve"> </w:t>
      </w:r>
      <w:r w:rsidRPr="003003E6">
        <w:rPr>
          <w:i/>
          <w:iCs/>
        </w:rPr>
        <w:t>See</w:t>
      </w:r>
      <w:r w:rsidRPr="006A5484">
        <w:t xml:space="preserve"> USAC.org, </w:t>
      </w:r>
      <w:r w:rsidRPr="006A5484">
        <w:rPr>
          <w:i/>
          <w:iCs/>
        </w:rPr>
        <w:t>COVID-19 Telehealth Program</w:t>
      </w:r>
      <w:r w:rsidRPr="006A5484">
        <w:t xml:space="preserve">, </w:t>
      </w:r>
      <w:hyperlink r:id="rId33" w:history="1">
        <w:r w:rsidR="00E35603" w:rsidRPr="005F035E">
          <w:rPr>
            <w:rStyle w:val="Hyperlink"/>
          </w:rPr>
          <w:t>https://www.usac.org/about/tribal-nations/usac-congressional-response-programs/covid-19-telehealth-program/</w:t>
        </w:r>
      </w:hyperlink>
      <w:r w:rsidR="00A81504">
        <w:t xml:space="preserve"> </w:t>
      </w:r>
      <w:r w:rsidRPr="006A5484">
        <w:t>(last visited Sept. 14, 2022) (“</w:t>
      </w:r>
      <w:r>
        <w:t>[</w:t>
      </w:r>
      <w:r w:rsidRPr="006A5484">
        <w:rPr>
          <w:shd w:val="clear" w:color="auto" w:fill="FFFFFF"/>
        </w:rPr>
        <w:t>T</w:t>
      </w:r>
      <w:r>
        <w:rPr>
          <w:shd w:val="clear" w:color="auto" w:fill="FFFFFF"/>
        </w:rPr>
        <w:t>]</w:t>
      </w:r>
      <w:r w:rsidRPr="006A5484">
        <w:rPr>
          <w:shd w:val="clear" w:color="auto" w:fill="FFFFFF"/>
        </w:rPr>
        <w:t>he </w:t>
      </w:r>
      <w:hyperlink r:id="rId34" w:tgtFrame="_blank (opens in new window)" w:history="1">
        <w:r w:rsidRPr="006A5484">
          <w:rPr>
            <w:rStyle w:val="Hyperlink"/>
            <w:color w:val="auto"/>
            <w:u w:val="none"/>
            <w:shd w:val="clear" w:color="auto" w:fill="FFFFFF"/>
          </w:rPr>
          <w:t>FCC found it was in the public interest to use the Universal Service Administrative Company (USAC</w:t>
        </w:r>
        <w:r w:rsidRPr="006A5484">
          <w:rPr>
            <w:rStyle w:val="Hyperlink"/>
            <w:color w:val="auto"/>
            <w:shd w:val="clear" w:color="auto" w:fill="FFFFFF"/>
          </w:rPr>
          <w:t>)</w:t>
        </w:r>
      </w:hyperlink>
      <w:r w:rsidRPr="006A5484">
        <w:rPr>
          <w:shd w:val="clear" w:color="auto" w:fill="FFFFFF"/>
        </w:rPr>
        <w:t> to administer the program’s second round.”).</w:t>
      </w:r>
      <w:r w:rsidR="000F69C7">
        <w:rPr>
          <w:shd w:val="clear" w:color="auto" w:fill="FFFFFF"/>
        </w:rPr>
        <w:t xml:space="preserve"> </w:t>
      </w:r>
      <w:r w:rsidR="000F69C7">
        <w:rPr>
          <w:i/>
          <w:iCs/>
          <w:shd w:val="clear" w:color="auto" w:fill="FFFFFF"/>
        </w:rPr>
        <w:t xml:space="preserve">See also </w:t>
      </w:r>
      <w:r w:rsidR="000F69C7" w:rsidRPr="005804FA">
        <w:rPr>
          <w:i/>
          <w:iCs/>
        </w:rPr>
        <w:t xml:space="preserve">COVID-19 Telehealth Program </w:t>
      </w:r>
      <w:r w:rsidR="000F69C7">
        <w:rPr>
          <w:i/>
          <w:iCs/>
        </w:rPr>
        <w:t xml:space="preserve">Round 2 </w:t>
      </w:r>
      <w:r w:rsidR="000F69C7" w:rsidRPr="005804FA">
        <w:rPr>
          <w:i/>
          <w:iCs/>
        </w:rPr>
        <w:t>Order</w:t>
      </w:r>
      <w:r w:rsidR="000F69C7">
        <w:rPr>
          <w:i/>
          <w:iCs/>
        </w:rPr>
        <w:t xml:space="preserve">, </w:t>
      </w:r>
      <w:r w:rsidR="000F69C7" w:rsidRPr="00075FC9">
        <w:t>3</w:t>
      </w:r>
      <w:r w:rsidR="000F69C7">
        <w:t>6</w:t>
      </w:r>
      <w:r w:rsidR="000F69C7" w:rsidRPr="00075FC9">
        <w:t xml:space="preserve"> FCC Rcd at</w:t>
      </w:r>
      <w:r w:rsidR="000F69C7">
        <w:t xml:space="preserve"> 7161, para. 42 (discussing the prioritization of applications serving Tribal areas for Round 2 of the COVID-19 Telehealth Program).</w:t>
      </w:r>
    </w:p>
  </w:footnote>
  <w:footnote w:id="52">
    <w:p w14:paraId="35F00C52" w14:textId="0D5E1939" w:rsidR="009958F9" w:rsidRPr="006A5484" w:rsidRDefault="009958F9" w:rsidP="00582E94">
      <w:pPr>
        <w:pStyle w:val="Heading1"/>
        <w:numPr>
          <w:ilvl w:val="0"/>
          <w:numId w:val="0"/>
        </w:numPr>
        <w:shd w:val="clear" w:color="auto" w:fill="FFFFFF"/>
        <w:rPr>
          <w:b w:val="0"/>
          <w:bCs w:val="0"/>
          <w:sz w:val="20"/>
          <w:szCs w:val="20"/>
        </w:rPr>
      </w:pPr>
      <w:r w:rsidRPr="006A5484">
        <w:rPr>
          <w:rStyle w:val="FootnoteReference"/>
          <w:b w:val="0"/>
          <w:bCs w:val="0"/>
          <w:sz w:val="20"/>
          <w:szCs w:val="20"/>
        </w:rPr>
        <w:footnoteRef/>
      </w:r>
      <w:r w:rsidRPr="006A5484">
        <w:rPr>
          <w:b w:val="0"/>
          <w:bCs w:val="0"/>
          <w:sz w:val="20"/>
          <w:szCs w:val="20"/>
        </w:rPr>
        <w:t xml:space="preserve"> </w:t>
      </w:r>
      <w:r w:rsidRPr="003003E6">
        <w:rPr>
          <w:b w:val="0"/>
          <w:bCs w:val="0"/>
          <w:i/>
          <w:iCs/>
          <w:sz w:val="20"/>
          <w:szCs w:val="20"/>
        </w:rPr>
        <w:t>See</w:t>
      </w:r>
      <w:r w:rsidRPr="006A5484">
        <w:rPr>
          <w:b w:val="0"/>
          <w:bCs w:val="0"/>
          <w:sz w:val="20"/>
          <w:szCs w:val="20"/>
        </w:rPr>
        <w:t xml:space="preserve"> GAO.gov, </w:t>
      </w:r>
      <w:r w:rsidRPr="006A5484">
        <w:rPr>
          <w:b w:val="0"/>
          <w:bCs w:val="0"/>
          <w:i/>
          <w:iCs/>
          <w:sz w:val="20"/>
          <w:szCs w:val="20"/>
        </w:rPr>
        <w:t xml:space="preserve">Indian Health Service: Relief Funding and Agency Response to COVID-19 </w:t>
      </w:r>
      <w:r w:rsidRPr="00296706">
        <w:rPr>
          <w:b w:val="0"/>
          <w:bCs w:val="0"/>
          <w:sz w:val="20"/>
          <w:szCs w:val="20"/>
        </w:rPr>
        <w:t>Pandemic</w:t>
      </w:r>
      <w:r w:rsidR="00C40A50" w:rsidRPr="00296706">
        <w:rPr>
          <w:b w:val="0"/>
          <w:bCs w:val="0"/>
          <w:sz w:val="20"/>
          <w:szCs w:val="20"/>
        </w:rPr>
        <w:t xml:space="preserve"> (Mar. 31, 2022)</w:t>
      </w:r>
      <w:r w:rsidRPr="006A5484">
        <w:rPr>
          <w:b w:val="0"/>
          <w:bCs w:val="0"/>
          <w:sz w:val="20"/>
          <w:szCs w:val="20"/>
        </w:rPr>
        <w:t xml:space="preserve">, </w:t>
      </w:r>
      <w:hyperlink r:id="rId35" w:history="1">
        <w:r w:rsidR="00E35603" w:rsidRPr="005F035E">
          <w:rPr>
            <w:rStyle w:val="Hyperlink"/>
            <w:b w:val="0"/>
            <w:bCs w:val="0"/>
            <w:sz w:val="20"/>
            <w:szCs w:val="20"/>
          </w:rPr>
          <w:t>https://www.gao.gov/products/gao-22-104360</w:t>
        </w:r>
      </w:hyperlink>
      <w:r w:rsidRPr="006A5484">
        <w:rPr>
          <w:b w:val="0"/>
          <w:bCs w:val="0"/>
          <w:sz w:val="20"/>
          <w:szCs w:val="20"/>
        </w:rPr>
        <w:t>.</w:t>
      </w:r>
    </w:p>
  </w:footnote>
  <w:footnote w:id="53">
    <w:p w14:paraId="2F36F702" w14:textId="556BA25F" w:rsidR="009958F9" w:rsidRPr="006A5484" w:rsidRDefault="009958F9" w:rsidP="005755A7">
      <w:pPr>
        <w:pStyle w:val="FootnoteText"/>
        <w:spacing w:before="120" w:after="120"/>
      </w:pPr>
      <w:r w:rsidRPr="006A5484">
        <w:rPr>
          <w:rStyle w:val="FootnoteReference"/>
        </w:rPr>
        <w:footnoteRef/>
      </w:r>
      <w:r w:rsidRPr="006A5484">
        <w:t xml:space="preserve"> </w:t>
      </w:r>
      <w:r w:rsidRPr="006A5484">
        <w:rPr>
          <w:i/>
          <w:iCs/>
        </w:rPr>
        <w:t>See</w:t>
      </w:r>
      <w:r w:rsidRPr="006A5484">
        <w:t xml:space="preserve"> </w:t>
      </w:r>
      <w:r w:rsidR="0056161D">
        <w:t>US Government Accountability Office,</w:t>
      </w:r>
      <w:r w:rsidRPr="006A5484">
        <w:t xml:space="preserve"> </w:t>
      </w:r>
      <w:r w:rsidRPr="006A5484">
        <w:rPr>
          <w:i/>
          <w:iCs/>
        </w:rPr>
        <w:t>Tribal Broadband: National Strategy and Coordination Framework Needed to Increase Access</w:t>
      </w:r>
      <w:r w:rsidRPr="006A5484">
        <w:t xml:space="preserve"> </w:t>
      </w:r>
      <w:r w:rsidR="002A0DF9">
        <w:t>(</w:t>
      </w:r>
      <w:r w:rsidR="003F6A3D">
        <w:t xml:space="preserve">Report to Congressional Requesters, </w:t>
      </w:r>
      <w:r w:rsidR="00F61FBB">
        <w:t xml:space="preserve">Jun. </w:t>
      </w:r>
      <w:r w:rsidR="002A0DF9">
        <w:t xml:space="preserve">2022), </w:t>
      </w:r>
      <w:hyperlink r:id="rId36" w:history="1">
        <w:r w:rsidR="00E35603" w:rsidRPr="005F035E">
          <w:rPr>
            <w:rStyle w:val="Hyperlink"/>
          </w:rPr>
          <w:t>https://www.gao.gov/assets/gao-22-104421.pdf</w:t>
        </w:r>
      </w:hyperlink>
      <w:r w:rsidRPr="006A5484">
        <w:t>.</w:t>
      </w:r>
    </w:p>
  </w:footnote>
  <w:footnote w:id="54">
    <w:p w14:paraId="50815059" w14:textId="753B4052" w:rsidR="00986ECB" w:rsidRPr="006A5484" w:rsidRDefault="009958F9" w:rsidP="005755A7">
      <w:pPr>
        <w:pStyle w:val="FootnoteText"/>
        <w:spacing w:before="120" w:after="120"/>
      </w:pPr>
      <w:r w:rsidRPr="006A5484">
        <w:rPr>
          <w:rStyle w:val="FootnoteReference"/>
        </w:rPr>
        <w:footnoteRef/>
      </w:r>
      <w:r w:rsidRPr="006A5484">
        <w:t xml:space="preserve"> </w:t>
      </w:r>
      <w:r w:rsidRPr="006A5484">
        <w:rPr>
          <w:i/>
          <w:iCs/>
        </w:rPr>
        <w:t>See</w:t>
      </w:r>
      <w:r w:rsidRPr="006A5484">
        <w:t xml:space="preserve"> Stephen Spotswood, </w:t>
      </w:r>
      <w:r w:rsidRPr="006A5484">
        <w:rPr>
          <w:i/>
          <w:iCs/>
        </w:rPr>
        <w:t xml:space="preserve">Infrastructure Lack Increases Health Risks of Native Americans </w:t>
      </w:r>
      <w:r w:rsidRPr="006A5484">
        <w:t>(</w:t>
      </w:r>
      <w:r w:rsidR="002A0DF9">
        <w:t xml:space="preserve">May 10, </w:t>
      </w:r>
      <w:r w:rsidRPr="006A5484">
        <w:t xml:space="preserve">2021), </w:t>
      </w:r>
      <w:hyperlink r:id="rId37" w:history="1">
        <w:r w:rsidR="00365E16" w:rsidRPr="005F035E">
          <w:rPr>
            <w:rStyle w:val="Hyperlink"/>
          </w:rPr>
          <w:t>https://www.usmedicine.com/clinical-topics/pharmacy-clinical-topics/infrastructure-lack-increases-health-risks-of-native-americans/</w:t>
        </w:r>
      </w:hyperlink>
      <w:r w:rsidR="00986ECB">
        <w:t>.</w:t>
      </w:r>
    </w:p>
  </w:footnote>
  <w:footnote w:id="55">
    <w:p w14:paraId="1E5EA191" w14:textId="398E6457" w:rsidR="009958F9" w:rsidRPr="00D51E99" w:rsidRDefault="009958F9" w:rsidP="00D93F27">
      <w:pPr>
        <w:spacing w:before="120" w:after="120"/>
        <w:rPr>
          <w:sz w:val="20"/>
          <w:szCs w:val="20"/>
        </w:rPr>
      </w:pPr>
      <w:r w:rsidRPr="00D51E99">
        <w:rPr>
          <w:rStyle w:val="FootnoteReference"/>
          <w:sz w:val="20"/>
          <w:szCs w:val="20"/>
        </w:rPr>
        <w:footnoteRef/>
      </w:r>
      <w:r w:rsidRPr="00D51E99">
        <w:rPr>
          <w:sz w:val="20"/>
          <w:szCs w:val="20"/>
        </w:rPr>
        <w:t xml:space="preserve"> </w:t>
      </w:r>
      <w:r w:rsidR="00D93F27" w:rsidRPr="00D51E99">
        <w:rPr>
          <w:i/>
          <w:iCs/>
          <w:sz w:val="20"/>
          <w:szCs w:val="20"/>
        </w:rPr>
        <w:t>See</w:t>
      </w:r>
      <w:r w:rsidR="00D93F27" w:rsidRPr="00D51E99">
        <w:rPr>
          <w:sz w:val="20"/>
          <w:szCs w:val="20"/>
        </w:rPr>
        <w:t xml:space="preserve"> U.S. Gov’t Accountability Off., GAO-22-104421, Tribal Broadband: National Strategy and Coordination Framework Needed to Increase Access (2022)</w:t>
      </w:r>
      <w:r w:rsidRPr="00D51E99">
        <w:rPr>
          <w:sz w:val="20"/>
          <w:szCs w:val="20"/>
        </w:rPr>
        <w:t xml:space="preserve">, </w:t>
      </w:r>
      <w:hyperlink r:id="rId38" w:history="1">
        <w:r w:rsidR="00365E16" w:rsidRPr="00D51E99">
          <w:rPr>
            <w:rStyle w:val="Hyperlink"/>
            <w:sz w:val="20"/>
            <w:szCs w:val="20"/>
          </w:rPr>
          <w:t>https://www.gao.gov/assets/gao-22-104421.pdf</w:t>
        </w:r>
      </w:hyperlink>
      <w:r w:rsidRPr="00D51E99">
        <w:rPr>
          <w:sz w:val="20"/>
          <w:szCs w:val="20"/>
        </w:rPr>
        <w:t>.</w:t>
      </w:r>
    </w:p>
  </w:footnote>
  <w:footnote w:id="56">
    <w:p w14:paraId="230A06E5" w14:textId="30090A71" w:rsidR="00AA02D1" w:rsidRDefault="00AA02D1" w:rsidP="00D93F27">
      <w:pPr>
        <w:pStyle w:val="FootnoteText"/>
        <w:spacing w:before="120" w:after="120"/>
      </w:pPr>
      <w:r>
        <w:rPr>
          <w:rStyle w:val="FootnoteReference"/>
        </w:rPr>
        <w:footnoteRef/>
      </w:r>
      <w:r>
        <w:t xml:space="preserve"> </w:t>
      </w:r>
      <w:r w:rsidRPr="009A51DA">
        <w:rPr>
          <w:i/>
          <w:iCs/>
        </w:rPr>
        <w:t>See</w:t>
      </w:r>
      <w:r>
        <w:t xml:space="preserve"> FCC.gov, </w:t>
      </w:r>
      <w:r w:rsidRPr="009A51DA">
        <w:rPr>
          <w:i/>
          <w:iCs/>
        </w:rPr>
        <w:t xml:space="preserve">The Broadband Data </w:t>
      </w:r>
      <w:r w:rsidRPr="00296706">
        <w:rPr>
          <w:i/>
          <w:iCs/>
          <w:color w:val="000000" w:themeColor="text1"/>
        </w:rPr>
        <w:t>Collection Tribal Governments’ Technical Assistance Workshop</w:t>
      </w:r>
      <w:r w:rsidRPr="00296706">
        <w:rPr>
          <w:color w:val="000000" w:themeColor="text1"/>
        </w:rPr>
        <w:t xml:space="preserve">, </w:t>
      </w:r>
      <w:r w:rsidR="002A0DF9" w:rsidRPr="00296706">
        <w:rPr>
          <w:color w:val="000000" w:themeColor="text1"/>
        </w:rPr>
        <w:t xml:space="preserve">(Dec. 8, 2021), </w:t>
      </w:r>
      <w:hyperlink r:id="rId39" w:history="1">
        <w:r w:rsidRPr="005F035E">
          <w:rPr>
            <w:rStyle w:val="Hyperlink"/>
          </w:rPr>
          <w:t>https://www.fcc.gov/news-events/events/2021/12/broadband-data-collection-tribal-governments-technical-assistance</w:t>
        </w:r>
      </w:hyperlink>
      <w:r w:rsidRPr="00296706">
        <w:rPr>
          <w:color w:val="000000" w:themeColor="text1"/>
        </w:rPr>
        <w:t xml:space="preserve">.  The Broadband Data Collection Tribal Governments’ Technical Assistance Workshop may also be viewed on YouTube.  </w:t>
      </w:r>
      <w:r w:rsidRPr="00296706">
        <w:rPr>
          <w:i/>
          <w:iCs/>
          <w:color w:val="000000" w:themeColor="text1"/>
        </w:rPr>
        <w:t>See</w:t>
      </w:r>
      <w:r w:rsidRPr="00296706">
        <w:rPr>
          <w:color w:val="000000" w:themeColor="text1"/>
        </w:rPr>
        <w:t xml:space="preserve"> Broadband Data Task</w:t>
      </w:r>
      <w:r>
        <w:t xml:space="preserve"> Force, </w:t>
      </w:r>
      <w:r w:rsidRPr="00603526">
        <w:rPr>
          <w:i/>
          <w:iCs/>
        </w:rPr>
        <w:t>Broadband Data Collection Tribal Governments’ Technical Assistance Workshop</w:t>
      </w:r>
      <w:r w:rsidRPr="007F7C85">
        <w:t xml:space="preserve"> </w:t>
      </w:r>
      <w:r>
        <w:t xml:space="preserve">(Dec. 9, 2021), </w:t>
      </w:r>
      <w:hyperlink r:id="rId40" w:history="1">
        <w:r w:rsidR="00296706" w:rsidRPr="005F035E">
          <w:rPr>
            <w:rStyle w:val="Hyperlink"/>
          </w:rPr>
          <w:t>https://www.youtube.com/watch?v=MoZln03GT5w</w:t>
        </w:r>
      </w:hyperlink>
      <w:r w:rsidRPr="00D77E2C">
        <w:t>)</w:t>
      </w:r>
      <w:r w:rsidRPr="00315CB0">
        <w:t>.</w:t>
      </w:r>
    </w:p>
  </w:footnote>
  <w:footnote w:id="57">
    <w:p w14:paraId="0ABF1F57" w14:textId="2BB21D53" w:rsidR="00A55414" w:rsidRPr="00A55414" w:rsidRDefault="00A55414" w:rsidP="00675ABE">
      <w:pPr>
        <w:pStyle w:val="FootnoteText"/>
        <w:spacing w:before="120" w:after="120"/>
      </w:pPr>
      <w:r w:rsidRPr="00A55414">
        <w:rPr>
          <w:rStyle w:val="FootnoteReference"/>
        </w:rPr>
        <w:footnoteRef/>
      </w:r>
      <w:r w:rsidRPr="00A55414">
        <w:t xml:space="preserve"> </w:t>
      </w:r>
      <w:r>
        <w:t>W</w:t>
      </w:r>
      <w:r w:rsidRPr="00675ABE">
        <w:t>e note that the types of "facilities" that are emerging as sites for telehealth are rapidly increasing</w:t>
      </w:r>
      <w:r>
        <w:t xml:space="preserve">.  </w:t>
      </w:r>
      <w:r w:rsidR="00D9015C" w:rsidRPr="004E74E1">
        <w:t xml:space="preserve">Among other things, they include </w:t>
      </w:r>
      <w:r w:rsidR="00D9015C">
        <w:t xml:space="preserve">cars and </w:t>
      </w:r>
      <w:r w:rsidR="00D9015C" w:rsidRPr="004E74E1">
        <w:t>a very wide variety of single</w:t>
      </w:r>
      <w:r w:rsidR="00FE2642">
        <w:t>-</w:t>
      </w:r>
      <w:r w:rsidR="00D9015C" w:rsidRPr="004E74E1">
        <w:t>family homes, multi-family dwellings and many types of businesses.</w:t>
      </w:r>
      <w:r w:rsidR="00D9015C">
        <w:t xml:space="preserve">  </w:t>
      </w:r>
      <w:r>
        <w:rPr>
          <w:i/>
          <w:iCs/>
        </w:rPr>
        <w:t>S</w:t>
      </w:r>
      <w:r w:rsidRPr="00675ABE">
        <w:rPr>
          <w:i/>
          <w:iCs/>
        </w:rPr>
        <w:t>ee</w:t>
      </w:r>
      <w:r w:rsidRPr="00675ABE">
        <w:t xml:space="preserve"> </w:t>
      </w:r>
      <w:r>
        <w:t>NEHI</w:t>
      </w:r>
      <w:r w:rsidRPr="00A55414">
        <w:t>-us.org</w:t>
      </w:r>
      <w:r>
        <w:t xml:space="preserve">, </w:t>
      </w:r>
      <w:r w:rsidRPr="00675ABE">
        <w:rPr>
          <w:i/>
          <w:iCs/>
        </w:rPr>
        <w:t>In-car Telehealth</w:t>
      </w:r>
      <w:r>
        <w:rPr>
          <w:i/>
          <w:iCs/>
        </w:rPr>
        <w:t xml:space="preserve">, </w:t>
      </w:r>
      <w:hyperlink r:id="rId41" w:history="1">
        <w:r w:rsidR="00675ABE" w:rsidRPr="005F035E">
          <w:rPr>
            <w:rStyle w:val="Hyperlink"/>
          </w:rPr>
          <w:t>https://www.nehi-us.org/writable/publication_files/file/incare_telehealth.pdf</w:t>
        </w:r>
      </w:hyperlink>
      <w:r w:rsidR="00D9015C">
        <w:t>.</w:t>
      </w:r>
    </w:p>
  </w:footnote>
  <w:footnote w:id="58">
    <w:p w14:paraId="318A5ADE" w14:textId="6EC16C46" w:rsidR="00301680" w:rsidRPr="00301680" w:rsidRDefault="00301680">
      <w:pPr>
        <w:pStyle w:val="FootnoteText"/>
      </w:pPr>
      <w:r w:rsidRPr="00301680">
        <w:rPr>
          <w:rStyle w:val="FootnoteReference"/>
        </w:rPr>
        <w:footnoteRef/>
      </w:r>
      <w:r w:rsidRPr="00301680">
        <w:t xml:space="preserve"> </w:t>
      </w:r>
      <w:r w:rsidRPr="00675ABE">
        <w:t>Providers and patients often need to view and discuss together various types of images (</w:t>
      </w:r>
      <w:r w:rsidRPr="00675ABE">
        <w:rPr>
          <w:i/>
          <w:iCs/>
        </w:rPr>
        <w:t>e.g</w:t>
      </w:r>
      <w:r w:rsidRPr="00675ABE">
        <w:t>., CT Scans, MRI, X-ray etc.).  These are very data intense products which require significant bandwidth in order to transmit efficiently</w:t>
      </w:r>
      <w:r w:rsidRPr="00675ABE">
        <w:rPr>
          <w:color w:val="202124"/>
          <w:shd w:val="clear" w:color="auto" w:fill="FFFFFF"/>
        </w:rPr>
        <w:t>.</w:t>
      </w:r>
    </w:p>
  </w:footnote>
  <w:footnote w:id="59">
    <w:p w14:paraId="330DC6A7" w14:textId="45EB6D03" w:rsidR="00F506B8" w:rsidRPr="00547DDE" w:rsidRDefault="00F506B8" w:rsidP="00675ABE">
      <w:pPr>
        <w:pStyle w:val="FootnoteText"/>
        <w:spacing w:before="120" w:after="120"/>
      </w:pPr>
      <w:r w:rsidRPr="00A55414">
        <w:rPr>
          <w:rStyle w:val="FootnoteReference"/>
        </w:rPr>
        <w:footnoteRef/>
      </w:r>
      <w:r w:rsidRPr="00A55414">
        <w:t xml:space="preserve"> </w:t>
      </w:r>
      <w:r w:rsidRPr="00A55414">
        <w:rPr>
          <w:i/>
          <w:iCs/>
        </w:rPr>
        <w:t>See</w:t>
      </w:r>
      <w:r w:rsidRPr="00A55414">
        <w:t xml:space="preserve"> Telehealth.HHS.gov,</w:t>
      </w:r>
      <w:r w:rsidRPr="00A55414">
        <w:rPr>
          <w:i/>
          <w:iCs/>
        </w:rPr>
        <w:t xml:space="preserve"> Improving Access to Telehealth</w:t>
      </w:r>
      <w:r w:rsidRPr="00A55414">
        <w:t xml:space="preserve">, </w:t>
      </w:r>
      <w:r w:rsidR="008E360D">
        <w:t xml:space="preserve">(Jul. 27, 2022), </w:t>
      </w:r>
      <w:hyperlink r:id="rId42" w:history="1">
        <w:r w:rsidR="00675ABE" w:rsidRPr="005F035E">
          <w:rPr>
            <w:rStyle w:val="Hyperlink"/>
          </w:rPr>
          <w:t>https://telehealth.hhs.gov/providers/health-equity-in-telehealth/improving-access-to-telehealth/#telehealth-for-people-with-disabilities</w:t>
        </w:r>
      </w:hyperlink>
      <w:r w:rsidRPr="00A55414">
        <w:t xml:space="preserve">.  </w:t>
      </w:r>
      <w:r w:rsidRPr="00A55414">
        <w:rPr>
          <w:i/>
          <w:iCs/>
        </w:rPr>
        <w:t>See also</w:t>
      </w:r>
      <w:r w:rsidRPr="00A55414">
        <w:t xml:space="preserve"> National Consortium of</w:t>
      </w:r>
      <w:r>
        <w:t xml:space="preserve"> Telehealth Resource Centers, </w:t>
      </w:r>
      <w:r>
        <w:rPr>
          <w:i/>
          <w:iCs/>
        </w:rPr>
        <w:t>Telehealth &amp; Disability: Recommendations for Providers</w:t>
      </w:r>
      <w:r>
        <w:t>,</w:t>
      </w:r>
      <w:r>
        <w:rPr>
          <w:i/>
          <w:iCs/>
        </w:rPr>
        <w:t xml:space="preserve"> </w:t>
      </w:r>
      <w:r w:rsidR="006676E0" w:rsidRPr="00675ABE">
        <w:t>(Sept. 27, 2021),</w:t>
      </w:r>
      <w:r w:rsidR="006676E0">
        <w:rPr>
          <w:i/>
          <w:iCs/>
        </w:rPr>
        <w:t xml:space="preserve"> </w:t>
      </w:r>
      <w:hyperlink r:id="rId43" w:history="1">
        <w:r w:rsidR="005F035E">
          <w:rPr>
            <w:rStyle w:val="Hyperlink"/>
          </w:rPr>
          <w:t>https://telehealthresourcecenter.org/resources/fact-sheets/telehealth-disability-recommendations-for-providers</w:t>
        </w:r>
      </w:hyperlink>
      <w:r>
        <w:t>.</w:t>
      </w:r>
      <w:r w:rsidRPr="00F051E2">
        <w:t xml:space="preserve"> </w:t>
      </w:r>
    </w:p>
  </w:footnote>
  <w:footnote w:id="60">
    <w:p w14:paraId="551FA7AD" w14:textId="5CD7C828" w:rsidR="009958F9" w:rsidRPr="00393B86" w:rsidRDefault="009958F9" w:rsidP="00232AE4">
      <w:pPr>
        <w:spacing w:before="120" w:after="120"/>
        <w:ind w:right="687"/>
        <w:rPr>
          <w:sz w:val="20"/>
          <w:szCs w:val="20"/>
        </w:rPr>
      </w:pPr>
      <w:r w:rsidRPr="00393B86">
        <w:rPr>
          <w:rStyle w:val="FootnoteReference"/>
          <w:sz w:val="20"/>
          <w:szCs w:val="20"/>
        </w:rPr>
        <w:footnoteRef/>
      </w:r>
      <w:r w:rsidRPr="00393B86">
        <w:rPr>
          <w:sz w:val="20"/>
          <w:szCs w:val="20"/>
        </w:rPr>
        <w:t xml:space="preserve"> </w:t>
      </w:r>
      <w:r w:rsidRPr="00582E94">
        <w:rPr>
          <w:i/>
          <w:sz w:val="20"/>
        </w:rPr>
        <w:t>See</w:t>
      </w:r>
      <w:r w:rsidRPr="00582E94">
        <w:rPr>
          <w:sz w:val="20"/>
        </w:rPr>
        <w:t xml:space="preserve"> Gianulli, T., </w:t>
      </w:r>
      <w:r w:rsidRPr="00582E94">
        <w:rPr>
          <w:i/>
          <w:sz w:val="20"/>
        </w:rPr>
        <w:t>Patient Directed Healthcare Data Exchange</w:t>
      </w:r>
      <w:r w:rsidRPr="00582E94">
        <w:rPr>
          <w:sz w:val="20"/>
        </w:rPr>
        <w:t xml:space="preserve">, </w:t>
      </w:r>
      <w:r w:rsidRPr="00393B86">
        <w:rPr>
          <w:sz w:val="20"/>
          <w:szCs w:val="20"/>
        </w:rPr>
        <w:t>You</w:t>
      </w:r>
      <w:r>
        <w:rPr>
          <w:sz w:val="20"/>
          <w:szCs w:val="20"/>
        </w:rPr>
        <w:t>T</w:t>
      </w:r>
      <w:r w:rsidRPr="00393B86">
        <w:rPr>
          <w:sz w:val="20"/>
          <w:szCs w:val="20"/>
        </w:rPr>
        <w:t>ube</w:t>
      </w:r>
      <w:r w:rsidRPr="00582E94">
        <w:rPr>
          <w:sz w:val="20"/>
        </w:rPr>
        <w:t xml:space="preserve"> (Sept. 5, 2018), </w:t>
      </w:r>
      <w:hyperlink r:id="rId44" w:history="1">
        <w:r w:rsidRPr="005F035E">
          <w:rPr>
            <w:rStyle w:val="Hyperlink"/>
            <w:sz w:val="20"/>
          </w:rPr>
          <w:t>https://www.youtube.com/watch?v=UcDiMf2HuC8</w:t>
        </w:r>
      </w:hyperlink>
      <w:r w:rsidRPr="00582E94">
        <w:rPr>
          <w:sz w:val="20"/>
        </w:rPr>
        <w:t xml:space="preserve"> (example of patient directed healthcare data exchange using blockchain technology, </w:t>
      </w:r>
      <w:r w:rsidRPr="00582E94">
        <w:rPr>
          <w:i/>
          <w:sz w:val="20"/>
        </w:rPr>
        <w:t xml:space="preserve">see </w:t>
      </w:r>
      <w:r w:rsidRPr="00582E94">
        <w:rPr>
          <w:sz w:val="20"/>
        </w:rPr>
        <w:t>Patient Directed</w:t>
      </w:r>
      <w:r w:rsidR="00E75F7D">
        <w:rPr>
          <w:sz w:val="20"/>
        </w:rPr>
        <w:t xml:space="preserve"> </w:t>
      </w:r>
      <w:r w:rsidRPr="00582E94">
        <w:rPr>
          <w:spacing w:val="-47"/>
          <w:sz w:val="20"/>
        </w:rPr>
        <w:t xml:space="preserve"> </w:t>
      </w:r>
      <w:r w:rsidR="00E75F7D">
        <w:rPr>
          <w:spacing w:val="-47"/>
          <w:sz w:val="20"/>
        </w:rPr>
        <w:t xml:space="preserve"> </w:t>
      </w:r>
      <w:r w:rsidRPr="00582E94">
        <w:rPr>
          <w:sz w:val="20"/>
        </w:rPr>
        <w:t>Healthcare</w:t>
      </w:r>
      <w:r w:rsidRPr="00582E94">
        <w:rPr>
          <w:spacing w:val="-3"/>
          <w:sz w:val="20"/>
        </w:rPr>
        <w:t xml:space="preserve"> </w:t>
      </w:r>
      <w:r w:rsidRPr="00582E94">
        <w:rPr>
          <w:sz w:val="20"/>
        </w:rPr>
        <w:t>Data Exchange).</w:t>
      </w:r>
    </w:p>
  </w:footnote>
  <w:footnote w:id="61">
    <w:p w14:paraId="12322B5D" w14:textId="1E27BAA2" w:rsidR="009958F9" w:rsidRPr="005C1112" w:rsidRDefault="009958F9" w:rsidP="002847B1">
      <w:pPr>
        <w:pStyle w:val="FootnoteText"/>
        <w:spacing w:before="120" w:after="120"/>
        <w:rPr>
          <w:i/>
          <w:iCs/>
        </w:rPr>
      </w:pPr>
      <w:r w:rsidRPr="00393B86">
        <w:rPr>
          <w:rStyle w:val="FootnoteReference"/>
        </w:rPr>
        <w:footnoteRef/>
      </w:r>
      <w:r w:rsidRPr="00393B86">
        <w:t xml:space="preserve"> </w:t>
      </w:r>
      <w:r w:rsidRPr="00393B86">
        <w:rPr>
          <w:i/>
          <w:iCs/>
        </w:rPr>
        <w:t>See</w:t>
      </w:r>
      <w:r w:rsidRPr="00393B86">
        <w:t xml:space="preserve"> HealthIT.gov, </w:t>
      </w:r>
      <w:r w:rsidRPr="00393B86">
        <w:rPr>
          <w:i/>
          <w:iCs/>
        </w:rPr>
        <w:t>What is HIE</w:t>
      </w:r>
      <w:r w:rsidRPr="00393B86">
        <w:t xml:space="preserve">, </w:t>
      </w:r>
      <w:r w:rsidR="002A0DF9" w:rsidRPr="00B77C0A">
        <w:t xml:space="preserve">(Jul. 24, 2020), </w:t>
      </w:r>
      <w:hyperlink r:id="rId45" w:history="1">
        <w:r w:rsidRPr="005F035E">
          <w:rPr>
            <w:rStyle w:val="Hyperlink"/>
          </w:rPr>
          <w:t>https://www.healthit.gov/topic/health-it-and-health-information-exchange-basics/what-hie</w:t>
        </w:r>
      </w:hyperlink>
      <w:r w:rsidRPr="00F23010">
        <w:t xml:space="preserve">.  </w:t>
      </w:r>
      <w:r w:rsidRPr="00F23010">
        <w:rPr>
          <w:i/>
          <w:iCs/>
        </w:rPr>
        <w:t>See also</w:t>
      </w:r>
      <w:r w:rsidRPr="00F23010">
        <w:t xml:space="preserve"> Tayla Holman, </w:t>
      </w:r>
      <w:r w:rsidRPr="00F23010">
        <w:rPr>
          <w:i/>
          <w:iCs/>
        </w:rPr>
        <w:t xml:space="preserve">Definition </w:t>
      </w:r>
      <w:r>
        <w:rPr>
          <w:i/>
          <w:iCs/>
        </w:rPr>
        <w:t xml:space="preserve">- </w:t>
      </w:r>
      <w:r w:rsidRPr="00F23010">
        <w:rPr>
          <w:i/>
          <w:iCs/>
        </w:rPr>
        <w:t>Health Information Exchange (HIE)</w:t>
      </w:r>
      <w:r w:rsidRPr="00F23010">
        <w:t xml:space="preserve">, </w:t>
      </w:r>
      <w:r w:rsidR="002847B1" w:rsidRPr="00B77C0A">
        <w:t xml:space="preserve">(May 2018), </w:t>
      </w:r>
      <w:hyperlink r:id="rId46" w:history="1">
        <w:r w:rsidR="005C1112" w:rsidRPr="005F035E">
          <w:rPr>
            <w:rStyle w:val="Hyperlink"/>
            <w:i/>
            <w:iCs/>
          </w:rPr>
          <w:t>https://www.techtarget.com/searchhealthit/definition/Health-information-exchange-HIE</w:t>
        </w:r>
      </w:hyperlink>
      <w:r w:rsidRPr="00F23010">
        <w:t xml:space="preserve"> (“</w:t>
      </w:r>
      <w:r w:rsidRPr="00F23010">
        <w:rPr>
          <w:shd w:val="clear" w:color="auto" w:fill="FFFFFF"/>
        </w:rPr>
        <w:t>While HIE typically refers to the act of exchanging information between two or more healthcare organizations or providers, it may also refer to an organization that is responsible for facilitating the exchange.”).</w:t>
      </w:r>
    </w:p>
  </w:footnote>
  <w:footnote w:id="62">
    <w:p w14:paraId="4C71B600" w14:textId="01210BF9" w:rsidR="0054363D" w:rsidRPr="006F1DFE" w:rsidRDefault="0054363D" w:rsidP="006E6313">
      <w:pPr>
        <w:pStyle w:val="FootnoteText"/>
        <w:spacing w:before="120" w:after="120"/>
      </w:pPr>
      <w:r w:rsidRPr="006F1DFE">
        <w:rPr>
          <w:rStyle w:val="FootnoteReference"/>
        </w:rPr>
        <w:footnoteRef/>
      </w:r>
      <w:r w:rsidRPr="006F1DFE">
        <w:t xml:space="preserve"> </w:t>
      </w:r>
      <w:r w:rsidRPr="006E6313">
        <w:rPr>
          <w:rStyle w:val="cf01"/>
          <w:rFonts w:ascii="Times New Roman" w:hAnsi="Times New Roman" w:cs="Times New Roman"/>
          <w:i/>
          <w:iCs/>
          <w:sz w:val="20"/>
          <w:szCs w:val="20"/>
        </w:rPr>
        <w:t>See</w:t>
      </w:r>
      <w:r w:rsidRPr="006E6313">
        <w:rPr>
          <w:rStyle w:val="cf01"/>
          <w:rFonts w:ascii="Times New Roman" w:hAnsi="Times New Roman" w:cs="Times New Roman"/>
          <w:sz w:val="20"/>
          <w:szCs w:val="20"/>
        </w:rPr>
        <w:t xml:space="preserve"> </w:t>
      </w:r>
      <w:r w:rsidR="00AB25CE" w:rsidRPr="006E6313">
        <w:rPr>
          <w:rStyle w:val="cf01"/>
          <w:rFonts w:ascii="Times New Roman" w:hAnsi="Times New Roman" w:cs="Times New Roman"/>
          <w:sz w:val="20"/>
          <w:szCs w:val="20"/>
        </w:rPr>
        <w:t xml:space="preserve">HealthITsecurity.com, </w:t>
      </w:r>
      <w:r w:rsidRPr="006E6313">
        <w:rPr>
          <w:rStyle w:val="cf01"/>
          <w:rFonts w:ascii="Times New Roman" w:hAnsi="Times New Roman" w:cs="Times New Roman"/>
          <w:i/>
          <w:iCs/>
          <w:sz w:val="20"/>
          <w:szCs w:val="20"/>
        </w:rPr>
        <w:t>COVID-19 Cyber Threats: Hackers Target DNS Routers, Remote Work</w:t>
      </w:r>
      <w:r w:rsidR="00E02D18" w:rsidRPr="006E6313">
        <w:rPr>
          <w:rStyle w:val="cf01"/>
          <w:rFonts w:ascii="Times New Roman" w:hAnsi="Times New Roman" w:cs="Times New Roman"/>
          <w:i/>
          <w:iCs/>
          <w:sz w:val="20"/>
          <w:szCs w:val="20"/>
        </w:rPr>
        <w:t>,</w:t>
      </w:r>
      <w:r w:rsidRPr="006E6313">
        <w:rPr>
          <w:rStyle w:val="cf01"/>
          <w:rFonts w:ascii="Times New Roman" w:hAnsi="Times New Roman" w:cs="Times New Roman"/>
          <w:sz w:val="20"/>
          <w:szCs w:val="20"/>
        </w:rPr>
        <w:t xml:space="preserve"> </w:t>
      </w:r>
      <w:r w:rsidR="002847B1">
        <w:rPr>
          <w:rStyle w:val="cf01"/>
          <w:rFonts w:ascii="Times New Roman" w:hAnsi="Times New Roman" w:cs="Times New Roman"/>
          <w:sz w:val="20"/>
          <w:szCs w:val="20"/>
        </w:rPr>
        <w:t xml:space="preserve">(Mar. 27, 2020), </w:t>
      </w:r>
      <w:hyperlink r:id="rId47" w:history="1">
        <w:r w:rsidRPr="005F035E">
          <w:rPr>
            <w:rStyle w:val="Hyperlink"/>
          </w:rPr>
          <w:t>https://healthitsecurity.com/news/covid-19-cyber-threats-hackers-target-dns-routers-remote-work</w:t>
        </w:r>
      </w:hyperlink>
      <w:r w:rsidR="002847B1">
        <w:rPr>
          <w:rStyle w:val="cf01"/>
          <w:rFonts w:ascii="Times New Roman" w:hAnsi="Times New Roman" w:cs="Times New Roman"/>
          <w:sz w:val="20"/>
          <w:szCs w:val="20"/>
        </w:rPr>
        <w:t>.</w:t>
      </w:r>
    </w:p>
  </w:footnote>
  <w:footnote w:id="63">
    <w:p w14:paraId="08A70B0A" w14:textId="40C0895C" w:rsidR="0054363D" w:rsidRPr="006F1DFE" w:rsidRDefault="0054363D" w:rsidP="006E6313">
      <w:pPr>
        <w:pStyle w:val="FootnoteText"/>
        <w:spacing w:before="120" w:after="120"/>
      </w:pPr>
      <w:r w:rsidRPr="006F1DFE">
        <w:rPr>
          <w:rStyle w:val="FootnoteReference"/>
        </w:rPr>
        <w:footnoteRef/>
      </w:r>
      <w:r w:rsidR="00AB25CE" w:rsidRPr="006F1DFE">
        <w:t xml:space="preserve"> </w:t>
      </w:r>
      <w:r w:rsidR="00AB25CE" w:rsidRPr="006E6313">
        <w:rPr>
          <w:i/>
          <w:iCs/>
        </w:rPr>
        <w:t>See</w:t>
      </w:r>
      <w:r w:rsidR="00AB25CE" w:rsidRPr="006F1DFE">
        <w:t xml:space="preserve"> AT&amp;T Business, </w:t>
      </w:r>
      <w:r w:rsidR="00AB25CE" w:rsidRPr="006E6313">
        <w:rPr>
          <w:i/>
          <w:iCs/>
        </w:rPr>
        <w:t>AT&amp;T Cybersecurity 2022 Securing the Edge, Focus on Healthcare</w:t>
      </w:r>
      <w:r w:rsidR="00BA1603" w:rsidRPr="006F1DFE">
        <w:rPr>
          <w:i/>
          <w:iCs/>
        </w:rPr>
        <w:t xml:space="preserve"> </w:t>
      </w:r>
      <w:r w:rsidR="00BA1603" w:rsidRPr="006E6313">
        <w:t>(2022)</w:t>
      </w:r>
      <w:r w:rsidR="00AB25CE" w:rsidRPr="006F1DFE">
        <w:t xml:space="preserve">, </w:t>
      </w:r>
      <w:hyperlink r:id="rId48" w:history="1">
        <w:r w:rsidR="006E6313" w:rsidRPr="005F035E">
          <w:rPr>
            <w:rStyle w:val="Hyperlink"/>
          </w:rPr>
          <w:t>https://www.business.att.com/content/dam/attbusiness/reports/att-cybersecurity-insights-report-a-focus-on-healthcare.pdf</w:t>
        </w:r>
      </w:hyperlink>
      <w:r w:rsidR="00BA1603" w:rsidRPr="006F1DFE">
        <w:t>.</w:t>
      </w:r>
    </w:p>
  </w:footnote>
  <w:footnote w:id="64">
    <w:p w14:paraId="38ADF39C" w14:textId="7DAF02F9" w:rsidR="009958F9" w:rsidRPr="004F2B26" w:rsidRDefault="009958F9" w:rsidP="00D3640F">
      <w:pPr>
        <w:pStyle w:val="FootnoteText"/>
        <w:spacing w:before="120" w:after="120"/>
      </w:pPr>
      <w:r w:rsidRPr="006F1DFE">
        <w:rPr>
          <w:rStyle w:val="FootnoteReference"/>
        </w:rPr>
        <w:footnoteRef/>
      </w:r>
      <w:r w:rsidRPr="006F1DFE">
        <w:t xml:space="preserve"> </w:t>
      </w:r>
      <w:r w:rsidRPr="006F1DFE">
        <w:rPr>
          <w:i/>
          <w:iCs/>
        </w:rPr>
        <w:t>See</w:t>
      </w:r>
      <w:r w:rsidRPr="006F1DFE">
        <w:t xml:space="preserve"> </w:t>
      </w:r>
      <w:r w:rsidR="00CC1F61">
        <w:t>Shania Kennedy</w:t>
      </w:r>
      <w:r>
        <w:t xml:space="preserve">, </w:t>
      </w:r>
      <w:r w:rsidRPr="00796985">
        <w:rPr>
          <w:i/>
          <w:iCs/>
        </w:rPr>
        <w:t>How to Improve Data Normalization in Healthcare</w:t>
      </w:r>
      <w:r>
        <w:t xml:space="preserve">, </w:t>
      </w:r>
      <w:r w:rsidR="00CC1F61">
        <w:t xml:space="preserve">HealthAnalytics.com </w:t>
      </w:r>
      <w:r w:rsidR="002847B1" w:rsidRPr="006E6313">
        <w:t xml:space="preserve">(Apr. 29, 2022), </w:t>
      </w:r>
      <w:hyperlink r:id="rId49" w:history="1">
        <w:r w:rsidR="00173D05" w:rsidRPr="005F035E">
          <w:rPr>
            <w:rStyle w:val="Hyperlink"/>
          </w:rPr>
          <w:t>https://healthitanalytics.com/features/how-to-improve-data-normalization-in-healthcare</w:t>
        </w:r>
      </w:hyperlink>
      <w:r>
        <w:t>.</w:t>
      </w:r>
    </w:p>
  </w:footnote>
  <w:footnote w:id="65">
    <w:p w14:paraId="2690C18B" w14:textId="43C6F6E1" w:rsidR="009958F9" w:rsidRPr="00910230" w:rsidRDefault="009958F9" w:rsidP="00910230">
      <w:pPr>
        <w:spacing w:before="120" w:after="120"/>
        <w:ind w:right="907"/>
        <w:rPr>
          <w:sz w:val="20"/>
          <w:szCs w:val="20"/>
        </w:rPr>
      </w:pPr>
      <w:r w:rsidRPr="00910230">
        <w:rPr>
          <w:rStyle w:val="FootnoteReference"/>
          <w:sz w:val="20"/>
          <w:szCs w:val="20"/>
        </w:rPr>
        <w:footnoteRef/>
      </w:r>
      <w:r w:rsidRPr="00910230">
        <w:rPr>
          <w:sz w:val="20"/>
          <w:szCs w:val="20"/>
        </w:rPr>
        <w:t xml:space="preserve"> </w:t>
      </w:r>
      <w:r w:rsidRPr="00910230">
        <w:rPr>
          <w:i/>
          <w:iCs/>
          <w:sz w:val="20"/>
          <w:szCs w:val="20"/>
        </w:rPr>
        <w:t>See</w:t>
      </w:r>
      <w:r w:rsidRPr="00910230">
        <w:rPr>
          <w:sz w:val="20"/>
          <w:szCs w:val="20"/>
        </w:rPr>
        <w:t xml:space="preserve"> HealthIT.gov</w:t>
      </w:r>
      <w:r w:rsidR="00910230" w:rsidRPr="00910230">
        <w:rPr>
          <w:sz w:val="20"/>
          <w:szCs w:val="20"/>
        </w:rPr>
        <w:t xml:space="preserve">, </w:t>
      </w:r>
      <w:r w:rsidR="00910230" w:rsidRPr="00910230">
        <w:rPr>
          <w:i/>
          <w:iCs/>
          <w:sz w:val="20"/>
          <w:szCs w:val="20"/>
        </w:rPr>
        <w:t>The Path to Interoperability</w:t>
      </w:r>
      <w:r w:rsidRPr="00910230">
        <w:rPr>
          <w:sz w:val="20"/>
          <w:szCs w:val="20"/>
        </w:rPr>
        <w:t xml:space="preserve">, </w:t>
      </w:r>
      <w:r w:rsidR="002847B1" w:rsidRPr="006E6313">
        <w:rPr>
          <w:sz w:val="20"/>
          <w:szCs w:val="20"/>
        </w:rPr>
        <w:t xml:space="preserve">(Sept. 2013), </w:t>
      </w:r>
      <w:hyperlink r:id="rId50" w:history="1">
        <w:r w:rsidR="00910230" w:rsidRPr="005F035E">
          <w:rPr>
            <w:rStyle w:val="Hyperlink"/>
            <w:sz w:val="20"/>
            <w:szCs w:val="20"/>
          </w:rPr>
          <w:t>https://www.healthit.gov/sites/default/files/factsheets/onc_interoperabilityfactsheet</w:t>
        </w:r>
        <w:r w:rsidR="00173D05" w:rsidRPr="005F035E">
          <w:rPr>
            <w:rStyle w:val="Hyperlink"/>
            <w:sz w:val="20"/>
            <w:szCs w:val="20"/>
          </w:rPr>
          <w:t>.pdf</w:t>
        </w:r>
      </w:hyperlink>
      <w:r w:rsidR="00910230" w:rsidRPr="00910230">
        <w:rPr>
          <w:sz w:val="20"/>
          <w:szCs w:val="20"/>
        </w:rPr>
        <w:t xml:space="preserve"> (“Interoperability is the ability of two or more systems to exchange health information and use the information once it is received.”).</w:t>
      </w:r>
      <w:r w:rsidRPr="00910230">
        <w:rPr>
          <w:sz w:val="20"/>
          <w:szCs w:val="20"/>
        </w:rPr>
        <w:t xml:space="preserve"> </w:t>
      </w:r>
    </w:p>
  </w:footnote>
  <w:footnote w:id="66">
    <w:p w14:paraId="4B18DF0C" w14:textId="774AEE16" w:rsidR="009958F9" w:rsidRPr="00D8697E" w:rsidRDefault="009958F9" w:rsidP="00D8697E">
      <w:pPr>
        <w:pStyle w:val="FootnoteText"/>
        <w:spacing w:before="120" w:after="120"/>
      </w:pPr>
      <w:r w:rsidRPr="00816EA5">
        <w:rPr>
          <w:rStyle w:val="FootnoteReference"/>
        </w:rPr>
        <w:footnoteRef/>
      </w:r>
      <w:r w:rsidRPr="00816EA5">
        <w:t xml:space="preserve"> </w:t>
      </w:r>
      <w:r w:rsidRPr="00816EA5">
        <w:rPr>
          <w:i/>
          <w:iCs/>
        </w:rPr>
        <w:t>See</w:t>
      </w:r>
      <w:r w:rsidRPr="00816EA5">
        <w:t xml:space="preserve"> Dr. Michael Blackman, MD., </w:t>
      </w:r>
      <w:r w:rsidRPr="00816EA5">
        <w:rPr>
          <w:i/>
          <w:iCs/>
        </w:rPr>
        <w:t>Lowering the Cost of Care Through Interoperability While Improving Quality</w:t>
      </w:r>
      <w:r w:rsidRPr="00816EA5">
        <w:t>, Population Health and Analytics, Allscripts (</w:t>
      </w:r>
      <w:r w:rsidR="002847B1">
        <w:t xml:space="preserve">Jul. 3, </w:t>
      </w:r>
      <w:r w:rsidRPr="00816EA5">
        <w:t xml:space="preserve">2018) </w:t>
      </w:r>
      <w:hyperlink r:id="rId51" w:history="1">
        <w:r w:rsidRPr="005F035E">
          <w:rPr>
            <w:rStyle w:val="Hyperlink"/>
          </w:rPr>
          <w:t>https://www.modernhealthcare.com/article/20180703/SPONSORED/180709967/lowering-the-cost-of-care-through-interoperability-while-improving-quality</w:t>
        </w:r>
      </w:hyperlink>
      <w:r w:rsidRPr="00D8697E">
        <w:t>.</w:t>
      </w:r>
    </w:p>
  </w:footnote>
  <w:footnote w:id="67">
    <w:p w14:paraId="4B069E97" w14:textId="1A697B83" w:rsidR="00D8697E" w:rsidRPr="00D8697E" w:rsidRDefault="00D8697E" w:rsidP="00F53702">
      <w:pPr>
        <w:pStyle w:val="pf0"/>
        <w:spacing w:before="120" w:beforeAutospacing="0" w:after="120" w:afterAutospacing="0"/>
      </w:pPr>
      <w:r w:rsidRPr="00D8697E">
        <w:rPr>
          <w:rStyle w:val="FootnoteReference"/>
          <w:sz w:val="20"/>
          <w:szCs w:val="20"/>
        </w:rPr>
        <w:footnoteRef/>
      </w:r>
      <w:r w:rsidRPr="00D8697E">
        <w:rPr>
          <w:sz w:val="20"/>
          <w:szCs w:val="20"/>
        </w:rPr>
        <w:t xml:space="preserve"> </w:t>
      </w:r>
      <w:r w:rsidR="009D60A8">
        <w:rPr>
          <w:rStyle w:val="cf01"/>
          <w:rFonts w:ascii="Times New Roman" w:hAnsi="Times New Roman" w:cs="Times New Roman"/>
          <w:sz w:val="20"/>
          <w:szCs w:val="20"/>
        </w:rPr>
        <w:t>It is</w:t>
      </w:r>
      <w:r w:rsidRPr="00D8697E">
        <w:rPr>
          <w:rStyle w:val="cf01"/>
          <w:rFonts w:ascii="Times New Roman" w:hAnsi="Times New Roman" w:cs="Times New Roman"/>
          <w:sz w:val="20"/>
          <w:szCs w:val="20"/>
        </w:rPr>
        <w:t xml:space="preserve"> important to mention here that r</w:t>
      </w:r>
      <w:r w:rsidRPr="00F53702">
        <w:rPr>
          <w:rStyle w:val="cf01"/>
          <w:rFonts w:ascii="Times New Roman" w:hAnsi="Times New Roman" w:cs="Times New Roman"/>
          <w:sz w:val="20"/>
          <w:szCs w:val="20"/>
        </w:rPr>
        <w:t>apid advances in Artificial Intelligence (AI), machine learning, and the Internet of Things (IOT) are enabling whole new classes of devices that are not only programmable, but also automated.</w:t>
      </w:r>
      <w:r w:rsidR="00F049CE">
        <w:rPr>
          <w:rStyle w:val="cf01"/>
          <w:rFonts w:ascii="Times New Roman" w:hAnsi="Times New Roman" w:cs="Times New Roman"/>
          <w:sz w:val="20"/>
          <w:szCs w:val="20"/>
        </w:rPr>
        <w:t xml:space="preserve"> </w:t>
      </w:r>
      <w:r w:rsidRPr="00F53702">
        <w:rPr>
          <w:rStyle w:val="cf01"/>
          <w:rFonts w:ascii="Times New Roman" w:hAnsi="Times New Roman" w:cs="Times New Roman"/>
          <w:sz w:val="20"/>
          <w:szCs w:val="20"/>
        </w:rPr>
        <w:t xml:space="preserve"> This means that a wide variety of functions from data capture to data interpretation and problem response and mitigation can now be handled automatically and instantly without the direct input of the patient or physician.  For example, continuous glucose monitors </w:t>
      </w:r>
      <w:r>
        <w:rPr>
          <w:rStyle w:val="cf01"/>
          <w:rFonts w:ascii="Times New Roman" w:hAnsi="Times New Roman" w:cs="Times New Roman"/>
          <w:sz w:val="20"/>
          <w:szCs w:val="20"/>
        </w:rPr>
        <w:t>(</w:t>
      </w:r>
      <w:r w:rsidR="0057121E">
        <w:rPr>
          <w:rStyle w:val="cf01"/>
          <w:rFonts w:ascii="Times New Roman" w:hAnsi="Times New Roman" w:cs="Times New Roman"/>
          <w:sz w:val="20"/>
          <w:szCs w:val="20"/>
        </w:rPr>
        <w:t>CGM</w:t>
      </w:r>
      <w:r>
        <w:rPr>
          <w:rStyle w:val="cf01"/>
          <w:rFonts w:ascii="Times New Roman" w:hAnsi="Times New Roman" w:cs="Times New Roman"/>
          <w:sz w:val="20"/>
          <w:szCs w:val="20"/>
        </w:rPr>
        <w:t xml:space="preserve">s) </w:t>
      </w:r>
      <w:r w:rsidRPr="00F53702">
        <w:rPr>
          <w:rStyle w:val="cf01"/>
          <w:rFonts w:ascii="Times New Roman" w:hAnsi="Times New Roman" w:cs="Times New Roman"/>
          <w:sz w:val="20"/>
          <w:szCs w:val="20"/>
        </w:rPr>
        <w:t xml:space="preserve">are already available and widely used on many patients </w:t>
      </w:r>
      <w:r w:rsidR="00F049CE">
        <w:rPr>
          <w:rStyle w:val="cf01"/>
          <w:rFonts w:ascii="Times New Roman" w:hAnsi="Times New Roman" w:cs="Times New Roman"/>
          <w:sz w:val="20"/>
          <w:szCs w:val="20"/>
        </w:rPr>
        <w:t xml:space="preserve">with </w:t>
      </w:r>
      <w:r w:rsidRPr="00F53702">
        <w:rPr>
          <w:rStyle w:val="cf01"/>
          <w:rFonts w:ascii="Times New Roman" w:hAnsi="Times New Roman" w:cs="Times New Roman"/>
          <w:sz w:val="20"/>
          <w:szCs w:val="20"/>
        </w:rPr>
        <w:t xml:space="preserve">diabetes, eliminating the need for multiple </w:t>
      </w:r>
      <w:r w:rsidR="00F049CE">
        <w:rPr>
          <w:rStyle w:val="cf01"/>
          <w:rFonts w:ascii="Times New Roman" w:hAnsi="Times New Roman" w:cs="Times New Roman"/>
          <w:sz w:val="20"/>
          <w:szCs w:val="20"/>
        </w:rPr>
        <w:t>finger</w:t>
      </w:r>
      <w:r w:rsidRPr="00F53702">
        <w:rPr>
          <w:rStyle w:val="cf01"/>
          <w:rFonts w:ascii="Times New Roman" w:hAnsi="Times New Roman" w:cs="Times New Roman"/>
          <w:sz w:val="20"/>
          <w:szCs w:val="20"/>
        </w:rPr>
        <w:t xml:space="preserve"> pricks</w:t>
      </w:r>
      <w:r w:rsidR="005A61EF">
        <w:rPr>
          <w:rStyle w:val="cf01"/>
          <w:rFonts w:ascii="Times New Roman" w:hAnsi="Times New Roman" w:cs="Times New Roman"/>
          <w:sz w:val="20"/>
          <w:szCs w:val="20"/>
        </w:rPr>
        <w:t xml:space="preserve"> </w:t>
      </w:r>
      <w:r w:rsidRPr="00F53702">
        <w:rPr>
          <w:rStyle w:val="cf01"/>
          <w:rFonts w:ascii="Times New Roman" w:hAnsi="Times New Roman" w:cs="Times New Roman"/>
          <w:sz w:val="20"/>
          <w:szCs w:val="20"/>
        </w:rPr>
        <w:t>throughout the day</w:t>
      </w:r>
      <w:r w:rsidR="005A61EF">
        <w:rPr>
          <w:rStyle w:val="cf01"/>
          <w:rFonts w:ascii="Times New Roman" w:hAnsi="Times New Roman" w:cs="Times New Roman"/>
          <w:sz w:val="20"/>
          <w:szCs w:val="20"/>
        </w:rPr>
        <w:t xml:space="preserve"> to test blood sugar levels</w:t>
      </w:r>
      <w:r w:rsidRPr="00D8697E">
        <w:rPr>
          <w:rStyle w:val="cf01"/>
          <w:rFonts w:ascii="Times New Roman" w:hAnsi="Times New Roman" w:cs="Times New Roman"/>
          <w:sz w:val="20"/>
          <w:szCs w:val="20"/>
        </w:rPr>
        <w:t>.  T</w:t>
      </w:r>
      <w:r w:rsidRPr="00F53702">
        <w:rPr>
          <w:rStyle w:val="cf01"/>
          <w:rFonts w:ascii="Times New Roman" w:hAnsi="Times New Roman" w:cs="Times New Roman"/>
          <w:sz w:val="20"/>
          <w:szCs w:val="20"/>
        </w:rPr>
        <w:t>he</w:t>
      </w:r>
      <w:r w:rsidRPr="00D8697E">
        <w:rPr>
          <w:rStyle w:val="cf01"/>
          <w:rFonts w:ascii="Times New Roman" w:hAnsi="Times New Roman" w:cs="Times New Roman"/>
          <w:sz w:val="20"/>
          <w:szCs w:val="20"/>
        </w:rPr>
        <w:t xml:space="preserve"> </w:t>
      </w:r>
      <w:r w:rsidR="0057121E">
        <w:rPr>
          <w:rStyle w:val="cf01"/>
          <w:rFonts w:ascii="Times New Roman" w:hAnsi="Times New Roman" w:cs="Times New Roman"/>
          <w:sz w:val="20"/>
          <w:szCs w:val="20"/>
        </w:rPr>
        <w:t>CGM</w:t>
      </w:r>
      <w:r w:rsidRPr="00D8697E">
        <w:rPr>
          <w:rStyle w:val="cf01"/>
          <w:rFonts w:ascii="Times New Roman" w:hAnsi="Times New Roman" w:cs="Times New Roman"/>
          <w:sz w:val="20"/>
          <w:szCs w:val="20"/>
        </w:rPr>
        <w:t xml:space="preserve"> can collect and send </w:t>
      </w:r>
      <w:r w:rsidR="005A61EF">
        <w:rPr>
          <w:rStyle w:val="cf01"/>
          <w:rFonts w:ascii="Times New Roman" w:hAnsi="Times New Roman" w:cs="Times New Roman"/>
          <w:sz w:val="20"/>
          <w:szCs w:val="20"/>
        </w:rPr>
        <w:t xml:space="preserve">this </w:t>
      </w:r>
      <w:r w:rsidRPr="00D8697E">
        <w:rPr>
          <w:rStyle w:val="cf01"/>
          <w:rFonts w:ascii="Times New Roman" w:hAnsi="Times New Roman" w:cs="Times New Roman"/>
          <w:sz w:val="20"/>
          <w:szCs w:val="20"/>
        </w:rPr>
        <w:t xml:space="preserve">information </w:t>
      </w:r>
      <w:r w:rsidR="005A61EF">
        <w:rPr>
          <w:rStyle w:val="cf01"/>
          <w:rFonts w:ascii="Times New Roman" w:hAnsi="Times New Roman" w:cs="Times New Roman"/>
          <w:sz w:val="20"/>
          <w:szCs w:val="20"/>
        </w:rPr>
        <w:t xml:space="preserve">back to the doctor </w:t>
      </w:r>
      <w:r w:rsidRPr="00D8697E">
        <w:rPr>
          <w:rStyle w:val="cf01"/>
          <w:rFonts w:ascii="Times New Roman" w:hAnsi="Times New Roman" w:cs="Times New Roman"/>
          <w:sz w:val="20"/>
          <w:szCs w:val="20"/>
        </w:rPr>
        <w:t>within a matter of seconds</w:t>
      </w:r>
      <w:r w:rsidR="005A61EF">
        <w:rPr>
          <w:rStyle w:val="cf01"/>
          <w:rFonts w:ascii="Times New Roman" w:hAnsi="Times New Roman" w:cs="Times New Roman"/>
          <w:sz w:val="20"/>
          <w:szCs w:val="20"/>
        </w:rPr>
        <w:t xml:space="preserve"> multiple times per day if needed.</w:t>
      </w:r>
      <w:r w:rsidRPr="00D8697E">
        <w:rPr>
          <w:rStyle w:val="cf01"/>
          <w:rFonts w:ascii="Times New Roman" w:hAnsi="Times New Roman" w:cs="Times New Roman"/>
          <w:sz w:val="20"/>
          <w:szCs w:val="20"/>
        </w:rPr>
        <w:t xml:space="preserve"> </w:t>
      </w:r>
      <w:r w:rsidR="005A61EF">
        <w:rPr>
          <w:rStyle w:val="cf01"/>
          <w:rFonts w:ascii="Times New Roman" w:hAnsi="Times New Roman" w:cs="Times New Roman"/>
          <w:sz w:val="20"/>
          <w:szCs w:val="20"/>
        </w:rPr>
        <w:t xml:space="preserve"> </w:t>
      </w:r>
      <w:r w:rsidRPr="00F53702">
        <w:rPr>
          <w:rStyle w:val="cf01"/>
          <w:rFonts w:ascii="Times New Roman" w:hAnsi="Times New Roman" w:cs="Times New Roman"/>
          <w:sz w:val="20"/>
          <w:szCs w:val="20"/>
        </w:rPr>
        <w:t xml:space="preserve">In the future, many more patients will use these devices for their diabetes management and many other devices like these will be developed for other diseases. </w:t>
      </w:r>
      <w:r w:rsidR="005A61EF">
        <w:rPr>
          <w:rStyle w:val="cf01"/>
          <w:rFonts w:ascii="Times New Roman" w:hAnsi="Times New Roman" w:cs="Times New Roman"/>
          <w:sz w:val="20"/>
          <w:szCs w:val="20"/>
        </w:rPr>
        <w:t xml:space="preserve"> </w:t>
      </w:r>
      <w:r w:rsidR="00CB3326">
        <w:rPr>
          <w:rStyle w:val="cf01"/>
          <w:rFonts w:ascii="Times New Roman" w:hAnsi="Times New Roman" w:cs="Times New Roman"/>
          <w:sz w:val="20"/>
          <w:szCs w:val="20"/>
        </w:rPr>
        <w:t>Having the necessary b</w:t>
      </w:r>
      <w:r w:rsidRPr="00F53702">
        <w:rPr>
          <w:rStyle w:val="cf01"/>
          <w:rFonts w:ascii="Times New Roman" w:hAnsi="Times New Roman" w:cs="Times New Roman"/>
          <w:sz w:val="20"/>
          <w:szCs w:val="20"/>
        </w:rPr>
        <w:t xml:space="preserve">roadband </w:t>
      </w:r>
      <w:r w:rsidR="005A61EF">
        <w:rPr>
          <w:rStyle w:val="cf01"/>
          <w:rFonts w:ascii="Times New Roman" w:hAnsi="Times New Roman" w:cs="Times New Roman"/>
          <w:sz w:val="20"/>
          <w:szCs w:val="20"/>
        </w:rPr>
        <w:t xml:space="preserve">and </w:t>
      </w:r>
      <w:r w:rsidRPr="00F53702">
        <w:rPr>
          <w:rStyle w:val="cf01"/>
          <w:rFonts w:ascii="Times New Roman" w:hAnsi="Times New Roman" w:cs="Times New Roman"/>
          <w:sz w:val="20"/>
          <w:szCs w:val="20"/>
        </w:rPr>
        <w:t xml:space="preserve">telehealth infrastructure to enable these devices to work anywhere </w:t>
      </w:r>
      <w:r w:rsidR="00CB3326">
        <w:rPr>
          <w:rStyle w:val="cf01"/>
          <w:rFonts w:ascii="Times New Roman" w:hAnsi="Times New Roman" w:cs="Times New Roman"/>
          <w:sz w:val="20"/>
          <w:szCs w:val="20"/>
        </w:rPr>
        <w:t xml:space="preserve">and </w:t>
      </w:r>
      <w:r w:rsidRPr="00F53702">
        <w:rPr>
          <w:rStyle w:val="cf01"/>
          <w:rFonts w:ascii="Times New Roman" w:hAnsi="Times New Roman" w:cs="Times New Roman"/>
          <w:sz w:val="20"/>
          <w:szCs w:val="20"/>
        </w:rPr>
        <w:t xml:space="preserve">anytime as needed is critical to a </w:t>
      </w:r>
      <w:r w:rsidR="00CB3326">
        <w:rPr>
          <w:rStyle w:val="cf01"/>
          <w:rFonts w:ascii="Times New Roman" w:hAnsi="Times New Roman" w:cs="Times New Roman"/>
          <w:sz w:val="20"/>
          <w:szCs w:val="20"/>
        </w:rPr>
        <w:t xml:space="preserve">digital </w:t>
      </w:r>
      <w:r w:rsidRPr="00F53702">
        <w:rPr>
          <w:rStyle w:val="cf01"/>
          <w:rFonts w:ascii="Times New Roman" w:hAnsi="Times New Roman" w:cs="Times New Roman"/>
          <w:sz w:val="20"/>
          <w:szCs w:val="20"/>
        </w:rPr>
        <w:t>futur</w:t>
      </w:r>
      <w:r w:rsidR="00CB3326">
        <w:rPr>
          <w:rStyle w:val="cf01"/>
          <w:rFonts w:ascii="Times New Roman" w:hAnsi="Times New Roman" w:cs="Times New Roman"/>
          <w:sz w:val="20"/>
          <w:szCs w:val="20"/>
        </w:rPr>
        <w:t>e.</w:t>
      </w:r>
    </w:p>
  </w:footnote>
  <w:footnote w:id="68">
    <w:p w14:paraId="030A5532" w14:textId="0D1EC1A7" w:rsidR="0043727A" w:rsidRPr="003E54BC" w:rsidRDefault="0043727A" w:rsidP="0043727A">
      <w:pPr>
        <w:pStyle w:val="FootnoteText"/>
        <w:spacing w:before="120" w:after="120"/>
      </w:pPr>
      <w:r w:rsidRPr="00D8697E">
        <w:rPr>
          <w:rStyle w:val="FootnoteReference"/>
        </w:rPr>
        <w:footnoteRef/>
      </w:r>
      <w:r w:rsidRPr="00D8697E">
        <w:t xml:space="preserve"> </w:t>
      </w:r>
      <w:r w:rsidRPr="00D8697E">
        <w:rPr>
          <w:i/>
          <w:iCs/>
        </w:rPr>
        <w:t>See</w:t>
      </w:r>
      <w:r w:rsidRPr="00D8697E">
        <w:t xml:space="preserve"> Altexsoft, </w:t>
      </w:r>
      <w:r w:rsidRPr="00D8697E">
        <w:rPr>
          <w:i/>
          <w:iCs/>
        </w:rPr>
        <w:t>Telehealth</w:t>
      </w:r>
      <w:r w:rsidRPr="003E54BC">
        <w:rPr>
          <w:i/>
          <w:iCs/>
        </w:rPr>
        <w:t xml:space="preserve"> APIs: Building Tools for Remote Medical Care</w:t>
      </w:r>
      <w:r w:rsidRPr="003E54BC">
        <w:t xml:space="preserve">, </w:t>
      </w:r>
      <w:r w:rsidR="002847B1" w:rsidRPr="00F53702">
        <w:t xml:space="preserve">(Mar. 24, 2021), </w:t>
      </w:r>
      <w:hyperlink r:id="rId52" w:history="1">
        <w:r w:rsidR="005F035E" w:rsidRPr="005F035E">
          <w:rPr>
            <w:rStyle w:val="Hyperlink"/>
          </w:rPr>
          <w:t>https://www.altexsoft.com/blog/telehealth-apis</w:t>
        </w:r>
      </w:hyperlink>
      <w:r w:rsidRPr="003E54BC">
        <w:t>.</w:t>
      </w:r>
    </w:p>
  </w:footnote>
  <w:footnote w:id="69">
    <w:p w14:paraId="3E00CB9A" w14:textId="5DDCA8B5" w:rsidR="009958F9" w:rsidRPr="003E54BC" w:rsidRDefault="009958F9" w:rsidP="00321F0F">
      <w:pPr>
        <w:pStyle w:val="FootnoteText"/>
        <w:spacing w:before="120" w:after="120"/>
      </w:pPr>
      <w:r w:rsidRPr="003E54BC">
        <w:rPr>
          <w:rStyle w:val="FootnoteReference"/>
        </w:rPr>
        <w:footnoteRef/>
      </w:r>
      <w:r w:rsidRPr="003E54BC">
        <w:t xml:space="preserve"> </w:t>
      </w:r>
      <w:r w:rsidRPr="009A51DA">
        <w:rPr>
          <w:i/>
          <w:iCs/>
        </w:rPr>
        <w:t>See</w:t>
      </w:r>
      <w:r w:rsidRPr="009A51DA">
        <w:t xml:space="preserve"> </w:t>
      </w:r>
      <w:hyperlink r:id="rId53" w:history="1">
        <w:r w:rsidRPr="009A51DA">
          <w:rPr>
            <w:rStyle w:val="Hyperlink"/>
            <w:color w:val="auto"/>
            <w:u w:val="none"/>
            <w:shd w:val="clear" w:color="auto" w:fill="FFFFFF"/>
          </w:rPr>
          <w:t>Health Insurance Portability and Accountability Act of 1996</w:t>
        </w:r>
      </w:hyperlink>
      <w:r w:rsidRPr="009A51DA">
        <w:rPr>
          <w:shd w:val="clear" w:color="auto" w:fill="FFFFFF"/>
        </w:rPr>
        <w:t xml:space="preserve">, </w:t>
      </w:r>
      <w:r w:rsidR="002847B1">
        <w:t>Pub.</w:t>
      </w:r>
      <w:r w:rsidRPr="009A51DA">
        <w:t xml:space="preserve"> </w:t>
      </w:r>
      <w:r w:rsidR="002847B1">
        <w:t>L.</w:t>
      </w:r>
      <w:r w:rsidRPr="009A51DA">
        <w:t xml:space="preserve"> </w:t>
      </w:r>
      <w:r w:rsidR="002847B1">
        <w:t xml:space="preserve">No. </w:t>
      </w:r>
      <w:r w:rsidRPr="009A51DA">
        <w:t>104-191</w:t>
      </w:r>
      <w:r w:rsidR="00391D26">
        <w:t xml:space="preserve"> </w:t>
      </w:r>
      <w:r w:rsidR="00391D26" w:rsidRPr="00F53702">
        <w:rPr>
          <w:shd w:val="clear" w:color="auto" w:fill="FFFFFF"/>
        </w:rPr>
        <w:t>§ 264, 110 Stat. 1936</w:t>
      </w:r>
      <w:r w:rsidR="00391D26" w:rsidRPr="00F53702">
        <w:t xml:space="preserve">  </w:t>
      </w:r>
      <w:r w:rsidRPr="009A51DA">
        <w:t>(HIP</w:t>
      </w:r>
      <w:r w:rsidR="004F6E2C">
        <w:t>A</w:t>
      </w:r>
      <w:r w:rsidRPr="009A51DA">
        <w:t>A).</w:t>
      </w:r>
    </w:p>
  </w:footnote>
  <w:footnote w:id="70">
    <w:p w14:paraId="0CE0BE45" w14:textId="653D64D5" w:rsidR="0043727A" w:rsidRPr="00321F0F" w:rsidRDefault="0043727A" w:rsidP="0043727A">
      <w:pPr>
        <w:pStyle w:val="FootnoteText"/>
        <w:spacing w:before="120" w:after="120"/>
      </w:pPr>
      <w:r w:rsidRPr="00321F0F">
        <w:rPr>
          <w:rStyle w:val="FootnoteReference"/>
        </w:rPr>
        <w:footnoteRef/>
      </w:r>
      <w:r>
        <w:t xml:space="preserve"> </w:t>
      </w:r>
      <w:r w:rsidRPr="00321F0F">
        <w:rPr>
          <w:i/>
          <w:iCs/>
        </w:rPr>
        <w:t>See</w:t>
      </w:r>
      <w:r>
        <w:t xml:space="preserve"> Lily Mercer,</w:t>
      </w:r>
      <w:r w:rsidRPr="00321F0F">
        <w:t xml:space="preserve"> </w:t>
      </w:r>
      <w:r w:rsidRPr="00321F0F">
        <w:rPr>
          <w:i/>
          <w:iCs/>
        </w:rPr>
        <w:t>How Centralized Telehealth Increases Telehealth Utilization</w:t>
      </w:r>
      <w:r w:rsidRPr="00321F0F">
        <w:t xml:space="preserve">, </w:t>
      </w:r>
      <w:hyperlink r:id="rId54" w:history="1">
        <w:r w:rsidR="00391D26" w:rsidRPr="005F035E">
          <w:rPr>
            <w:rStyle w:val="Hyperlink"/>
          </w:rPr>
          <w:t>https://www.healthrecoverysolutions.com/blog/how-centralized-telehealth-increases-telehealth-utilization</w:t>
        </w:r>
      </w:hyperlink>
      <w:r w:rsidR="00391D26">
        <w:t xml:space="preserve"> (last visited Oct. 12, 2022).</w:t>
      </w:r>
    </w:p>
  </w:footnote>
  <w:footnote w:id="71">
    <w:p w14:paraId="00DCB45F" w14:textId="39CD50BE" w:rsidR="00357546" w:rsidRPr="00D91F54" w:rsidRDefault="00357546" w:rsidP="00357546">
      <w:pPr>
        <w:pStyle w:val="FootnoteText"/>
        <w:spacing w:before="120" w:after="120"/>
      </w:pPr>
      <w:r w:rsidRPr="00D91F54">
        <w:rPr>
          <w:rStyle w:val="FootnoteReference"/>
        </w:rPr>
        <w:footnoteRef/>
      </w:r>
      <w:r w:rsidRPr="00D91F54">
        <w:t xml:space="preserve"> </w:t>
      </w:r>
      <w:r w:rsidRPr="00D91F54">
        <w:rPr>
          <w:i/>
          <w:iCs/>
        </w:rPr>
        <w:t xml:space="preserve">See </w:t>
      </w:r>
      <w:r w:rsidRPr="00D91F54">
        <w:rPr>
          <w:shd w:val="clear" w:color="auto" w:fill="FFFFFF"/>
        </w:rPr>
        <w:t>Liana Loewus</w:t>
      </w:r>
      <w:r>
        <w:rPr>
          <w:shd w:val="clear" w:color="auto" w:fill="FFFFFF"/>
        </w:rPr>
        <w:t xml:space="preserve">, </w:t>
      </w:r>
      <w:r w:rsidRPr="00D91F54">
        <w:rPr>
          <w:i/>
          <w:iCs/>
        </w:rPr>
        <w:t>What is Digital Literacy</w:t>
      </w:r>
      <w:r>
        <w:t xml:space="preserve"> (Nov. 8, 2016),</w:t>
      </w:r>
      <w:r w:rsidRPr="00D91F54">
        <w:t xml:space="preserve"> </w:t>
      </w:r>
      <w:hyperlink r:id="rId55" w:history="1">
        <w:r w:rsidRPr="002D32F4">
          <w:rPr>
            <w:rStyle w:val="Hyperlink"/>
          </w:rPr>
          <w:t>https://www.edweek.org/teaching-learning/what-is-digital-literacy/2016/11</w:t>
        </w:r>
      </w:hyperlink>
      <w:r w:rsidRPr="00D91F54">
        <w:t xml:space="preserve"> (</w:t>
      </w:r>
      <w:r w:rsidRPr="00D91F54">
        <w:rPr>
          <w:shd w:val="clear" w:color="auto" w:fill="FFFFFF"/>
        </w:rPr>
        <w:t>“Digital literacy is the ability to use information and communication technologies to find, evaluate, create, and communicate information, requiring both cognitive and technical skills.”)</w:t>
      </w:r>
      <w:r>
        <w:rPr>
          <w:shd w:val="clear" w:color="auto" w:fill="FFFFFF"/>
        </w:rPr>
        <w:t>.</w:t>
      </w:r>
    </w:p>
  </w:footnote>
  <w:footnote w:id="72">
    <w:p w14:paraId="609A5159" w14:textId="6B6823E9" w:rsidR="000A4DE4" w:rsidRPr="00D91F54" w:rsidRDefault="000A4DE4" w:rsidP="000A4DE4">
      <w:pPr>
        <w:pStyle w:val="FootnoteText"/>
        <w:spacing w:before="120" w:after="120"/>
      </w:pPr>
      <w:r w:rsidRPr="00D91F54">
        <w:rPr>
          <w:rStyle w:val="FootnoteReference"/>
        </w:rPr>
        <w:footnoteRef/>
      </w:r>
      <w:r w:rsidRPr="00D91F54">
        <w:t xml:space="preserve"> </w:t>
      </w:r>
      <w:r w:rsidRPr="00D91F54">
        <w:rPr>
          <w:i/>
          <w:iCs/>
        </w:rPr>
        <w:t xml:space="preserve">See </w:t>
      </w:r>
      <w:r>
        <w:t xml:space="preserve">Telehealth Equity Coalition, </w:t>
      </w:r>
      <w:r w:rsidRPr="00D91F54">
        <w:rPr>
          <w:i/>
          <w:iCs/>
        </w:rPr>
        <w:t>Improving Digital Literacy to Improve Telehealth Equity</w:t>
      </w:r>
      <w:r>
        <w:t xml:space="preserve"> (</w:t>
      </w:r>
      <w:r w:rsidR="00391D26">
        <w:t xml:space="preserve">Oct. 18, </w:t>
      </w:r>
      <w:r>
        <w:t xml:space="preserve">2021), </w:t>
      </w:r>
      <w:hyperlink r:id="rId56" w:history="1">
        <w:r w:rsidRPr="002D32F4">
          <w:rPr>
            <w:rStyle w:val="Hyperlink"/>
          </w:rPr>
          <w:t>https://www.telehealthequitycoalition.org/improving-digital-literacy-to-improve-telehealth-equity.html</w:t>
        </w:r>
      </w:hyperlink>
      <w:r w:rsidR="00920290">
        <w:t>.</w:t>
      </w:r>
    </w:p>
  </w:footnote>
  <w:footnote w:id="73">
    <w:p w14:paraId="7D9D0608" w14:textId="29C96211" w:rsidR="00F506B8" w:rsidRPr="00293C02" w:rsidRDefault="00F506B8" w:rsidP="00F506B8">
      <w:pPr>
        <w:pStyle w:val="FootnoteText"/>
      </w:pPr>
      <w:r>
        <w:rPr>
          <w:rStyle w:val="FootnoteReference"/>
        </w:rPr>
        <w:footnoteRef/>
      </w:r>
      <w:r>
        <w:t xml:space="preserve"> See Andrew Perrin and Sara Atske, </w:t>
      </w:r>
      <w:r w:rsidRPr="00997DF8">
        <w:rPr>
          <w:i/>
        </w:rPr>
        <w:t>Americans with disabilities less likely than those without to own some digital devices,</w:t>
      </w:r>
      <w:r>
        <w:t xml:space="preserve"> Pew Research Center (Sept. 10, 2021), </w:t>
      </w:r>
      <w:hyperlink r:id="rId57" w:history="1">
        <w:r w:rsidR="002D32F4" w:rsidRPr="002D32F4">
          <w:rPr>
            <w:rStyle w:val="Hyperlink"/>
          </w:rPr>
          <w:t>https://www.pewresearch.org/fact-tank/2021/09/10/americans-with-disabilities-less-likely-than-those-without-to-own-some-digital-devices</w:t>
        </w:r>
      </w:hyperlink>
      <w:r>
        <w:t>.</w:t>
      </w:r>
    </w:p>
  </w:footnote>
  <w:footnote w:id="74">
    <w:p w14:paraId="4F00B4D6" w14:textId="6D67451C" w:rsidR="009958F9" w:rsidRPr="004D07EA" w:rsidRDefault="009958F9" w:rsidP="00805812">
      <w:pPr>
        <w:pStyle w:val="FootnoteText"/>
        <w:spacing w:before="120" w:after="120"/>
      </w:pPr>
      <w:r w:rsidRPr="004D07EA">
        <w:rPr>
          <w:rStyle w:val="FootnoteReference"/>
        </w:rPr>
        <w:footnoteRef/>
      </w:r>
      <w:r w:rsidRPr="004D07EA">
        <w:t xml:space="preserve"> </w:t>
      </w:r>
      <w:r w:rsidRPr="004D07EA">
        <w:rPr>
          <w:i/>
          <w:iCs/>
        </w:rPr>
        <w:t>See</w:t>
      </w:r>
      <w:r>
        <w:t xml:space="preserve"> Telehealth.HHS.gov, </w:t>
      </w:r>
      <w:r w:rsidRPr="004D07EA">
        <w:rPr>
          <w:i/>
          <w:iCs/>
        </w:rPr>
        <w:t>Policy Changes During COVID-19</w:t>
      </w:r>
      <w:r w:rsidRPr="004D07EA">
        <w:t xml:space="preserve">, </w:t>
      </w:r>
      <w:r w:rsidR="00391D26" w:rsidRPr="00EF14A9">
        <w:t>(</w:t>
      </w:r>
      <w:r w:rsidR="00391D26" w:rsidRPr="00885504">
        <w:t xml:space="preserve">Jun. 29, 2022), </w:t>
      </w:r>
      <w:hyperlink r:id="rId58" w:history="1">
        <w:r w:rsidR="002D32F4">
          <w:rPr>
            <w:rStyle w:val="Hyperlink"/>
          </w:rPr>
          <w:t>https://telehealth.hhs.gov/providers/policy-changes-during-the-covid-19-public-health-emergency/hipaa-flexibility-for-telehealth-technology/</w:t>
        </w:r>
      </w:hyperlink>
      <w:r>
        <w:t>.</w:t>
      </w:r>
    </w:p>
  </w:footnote>
  <w:footnote w:id="75">
    <w:p w14:paraId="0D8A7FF9" w14:textId="0EEDA018" w:rsidR="000A4DE4" w:rsidRPr="009352AD" w:rsidRDefault="000A4DE4" w:rsidP="000A4DE4">
      <w:pPr>
        <w:pStyle w:val="FootnoteText"/>
        <w:spacing w:before="120" w:after="120"/>
      </w:pPr>
      <w:r w:rsidRPr="004D07EA">
        <w:rPr>
          <w:rStyle w:val="FootnoteReference"/>
        </w:rPr>
        <w:footnoteRef/>
      </w:r>
      <w:r w:rsidRPr="004D07EA">
        <w:t xml:space="preserve"> </w:t>
      </w:r>
      <w:r w:rsidRPr="004D07EA">
        <w:rPr>
          <w:i/>
          <w:iCs/>
        </w:rPr>
        <w:t>See</w:t>
      </w:r>
      <w:r>
        <w:t xml:space="preserve"> HHS.Telehealth.gov, </w:t>
      </w:r>
      <w:r w:rsidRPr="004D07EA">
        <w:rPr>
          <w:i/>
          <w:iCs/>
        </w:rPr>
        <w:t>HIPPA Flexibility for Telehealth Technology</w:t>
      </w:r>
      <w:r w:rsidRPr="004D07EA">
        <w:t xml:space="preserve">, </w:t>
      </w:r>
      <w:r w:rsidR="00371690" w:rsidRPr="00EF14A9">
        <w:t>(</w:t>
      </w:r>
      <w:r w:rsidR="00371690" w:rsidRPr="00885504">
        <w:t xml:space="preserve">Jun. 29, 2022), </w:t>
      </w:r>
      <w:hyperlink r:id="rId59" w:history="1">
        <w:r w:rsidR="002D32F4">
          <w:rPr>
            <w:rStyle w:val="Hyperlink"/>
          </w:rPr>
          <w:t>https://telehealth.hhs.gov/providers/policy-changes-during-the-covid-19-public-health-emergency/hipaa-flexibility-for-telehealth-technology/</w:t>
        </w:r>
      </w:hyperlink>
      <w:r>
        <w:t>.</w:t>
      </w:r>
    </w:p>
  </w:footnote>
  <w:footnote w:id="76">
    <w:p w14:paraId="37F34BE6" w14:textId="05B8722A" w:rsidR="00520765" w:rsidRPr="009A51DA" w:rsidRDefault="00520765" w:rsidP="00520765">
      <w:pPr>
        <w:pStyle w:val="FootnoteText"/>
        <w:spacing w:before="120" w:after="120"/>
      </w:pPr>
      <w:r w:rsidRPr="009352AD">
        <w:rPr>
          <w:rStyle w:val="FootnoteReference"/>
        </w:rPr>
        <w:footnoteRef/>
      </w:r>
      <w:r w:rsidRPr="009352AD">
        <w:t xml:space="preserve"> </w:t>
      </w:r>
      <w:r w:rsidRPr="009352AD">
        <w:rPr>
          <w:i/>
          <w:iCs/>
        </w:rPr>
        <w:t xml:space="preserve">See </w:t>
      </w:r>
      <w:r>
        <w:t>Office of Inspecter General</w:t>
      </w:r>
      <w:r w:rsidRPr="009352AD">
        <w:t xml:space="preserve">, </w:t>
      </w:r>
      <w:r w:rsidRPr="009352AD">
        <w:rPr>
          <w:i/>
          <w:iCs/>
        </w:rPr>
        <w:t>Telehealth Was Critical for Providing Services to Medicare Beneficiaries During the First Year of the COVID-19 Pandemic</w:t>
      </w:r>
      <w:r>
        <w:t xml:space="preserve"> (</w:t>
      </w:r>
      <w:r w:rsidR="00B01F1E" w:rsidRPr="00885504">
        <w:t xml:space="preserve">Mar. 15, </w:t>
      </w:r>
      <w:r>
        <w:t xml:space="preserve">2022), </w:t>
      </w:r>
      <w:hyperlink r:id="rId60" w:history="1">
        <w:r w:rsidRPr="002D32F4">
          <w:rPr>
            <w:rStyle w:val="Hyperlink"/>
          </w:rPr>
          <w:t>https://oig.hhs.gov/oei/reports/OEI-02-20-00520.asp</w:t>
        </w:r>
      </w:hyperlink>
      <w:r w:rsidRPr="009352AD">
        <w:t>.</w:t>
      </w:r>
    </w:p>
  </w:footnote>
  <w:footnote w:id="77">
    <w:p w14:paraId="374C6342" w14:textId="02E44998" w:rsidR="00520765" w:rsidRPr="009352AD" w:rsidRDefault="00520765" w:rsidP="00520765">
      <w:pPr>
        <w:pStyle w:val="FootnoteText"/>
        <w:spacing w:before="120" w:after="120"/>
      </w:pPr>
      <w:r w:rsidRPr="009352AD">
        <w:rPr>
          <w:rStyle w:val="FootnoteReference"/>
        </w:rPr>
        <w:footnoteRef/>
      </w:r>
      <w:r w:rsidRPr="009352AD">
        <w:t xml:space="preserve"> </w:t>
      </w:r>
      <w:r w:rsidR="00927FB9" w:rsidRPr="00885504">
        <w:rPr>
          <w:i/>
          <w:iCs/>
        </w:rPr>
        <w:t>Id.</w:t>
      </w:r>
      <w:r w:rsidR="00927FB9">
        <w:t xml:space="preserve">  </w:t>
      </w:r>
      <w:r w:rsidRPr="009352AD">
        <w:rPr>
          <w:i/>
          <w:iCs/>
        </w:rPr>
        <w:t>See</w:t>
      </w:r>
      <w:r w:rsidR="00927FB9">
        <w:rPr>
          <w:i/>
          <w:iCs/>
        </w:rPr>
        <w:t xml:space="preserve"> also </w:t>
      </w:r>
      <w:r w:rsidR="00B01F1E">
        <w:rPr>
          <w:i/>
          <w:iCs/>
        </w:rPr>
        <w:t xml:space="preserve"> </w:t>
      </w:r>
      <w:r w:rsidRPr="009352AD">
        <w:t>Telehealth.HHS.gov</w:t>
      </w:r>
      <w:r w:rsidRPr="009352AD">
        <w:rPr>
          <w:i/>
          <w:iCs/>
        </w:rPr>
        <w:t>, Telehealth: Health Care from the Safety of our Homes</w:t>
      </w:r>
      <w:r w:rsidRPr="009352AD">
        <w:t xml:space="preserve">, </w:t>
      </w:r>
      <w:hyperlink r:id="rId61" w:history="1">
        <w:r w:rsidR="002D32F4" w:rsidRPr="002D32F4">
          <w:rPr>
            <w:rStyle w:val="Hyperlink"/>
          </w:rPr>
          <w:t>https://telehealth.hhs.gov</w:t>
        </w:r>
      </w:hyperlink>
      <w:r w:rsidRPr="009352AD">
        <w:t xml:space="preserve"> (last visited </w:t>
      </w:r>
      <w:r w:rsidR="00927FB9">
        <w:t>Oct. 17</w:t>
      </w:r>
      <w:r w:rsidRPr="009352AD">
        <w:t>, 2022) (“</w:t>
      </w:r>
      <w:r w:rsidRPr="009352AD">
        <w:rPr>
          <w:shd w:val="clear" w:color="auto" w:fill="FFFFFF"/>
        </w:rPr>
        <w:t>The Telehealth.HHS.gov website provides information for health care providers and patients about the latest federal efforts to support and promote virtual health care, known as telehealth.</w:t>
      </w:r>
      <w:r w:rsidR="00927FB9">
        <w:rPr>
          <w:shd w:val="clear" w:color="auto" w:fill="FFFFFF"/>
        </w:rPr>
        <w:t xml:space="preserve"> </w:t>
      </w:r>
      <w:r w:rsidRPr="009352AD">
        <w:rPr>
          <w:shd w:val="clear" w:color="auto" w:fill="FFFFFF"/>
        </w:rPr>
        <w:t xml:space="preserve"> It was built by the Health Resources and Services Administration (HRSA), an agency of the U.S. Department of Health and Human Services (HHS).”)</w:t>
      </w:r>
      <w:r w:rsidRPr="009352AD">
        <w:t>.</w:t>
      </w:r>
    </w:p>
  </w:footnote>
  <w:footnote w:id="78">
    <w:p w14:paraId="271C9AE0" w14:textId="6D57A556" w:rsidR="009958F9" w:rsidRPr="002926E7" w:rsidRDefault="009958F9" w:rsidP="007946CE">
      <w:pPr>
        <w:pStyle w:val="BodyText"/>
        <w:spacing w:before="120" w:after="120"/>
        <w:ind w:left="0" w:right="318"/>
        <w:rPr>
          <w:sz w:val="20"/>
          <w:szCs w:val="20"/>
          <w:shd w:val="clear" w:color="auto" w:fill="FFFFFF"/>
        </w:rPr>
      </w:pPr>
      <w:r w:rsidRPr="00896642">
        <w:rPr>
          <w:rStyle w:val="FootnoteReference"/>
          <w:sz w:val="20"/>
          <w:szCs w:val="20"/>
        </w:rPr>
        <w:footnoteRef/>
      </w:r>
      <w:r w:rsidRPr="00896642">
        <w:rPr>
          <w:sz w:val="20"/>
          <w:szCs w:val="20"/>
        </w:rPr>
        <w:t xml:space="preserve"> </w:t>
      </w:r>
      <w:r w:rsidRPr="00896642">
        <w:rPr>
          <w:i/>
          <w:iCs/>
          <w:sz w:val="20"/>
          <w:szCs w:val="20"/>
        </w:rPr>
        <w:t xml:space="preserve">See </w:t>
      </w:r>
      <w:r w:rsidRPr="00896642">
        <w:rPr>
          <w:sz w:val="20"/>
          <w:szCs w:val="20"/>
        </w:rPr>
        <w:t>Telehealth.HHS.gov</w:t>
      </w:r>
      <w:r w:rsidRPr="00896642">
        <w:rPr>
          <w:i/>
          <w:iCs/>
          <w:sz w:val="20"/>
          <w:szCs w:val="20"/>
        </w:rPr>
        <w:t>, Telehealth Policy Changes after the COVID-19 Public Health Emergency</w:t>
      </w:r>
      <w:r w:rsidRPr="00896642">
        <w:rPr>
          <w:sz w:val="20"/>
          <w:szCs w:val="20"/>
          <w:shd w:val="clear" w:color="auto" w:fill="FFFFFF"/>
        </w:rPr>
        <w:t xml:space="preserve">, </w:t>
      </w:r>
      <w:r w:rsidR="00920290">
        <w:rPr>
          <w:sz w:val="20"/>
          <w:szCs w:val="20"/>
          <w:shd w:val="clear" w:color="auto" w:fill="FFFFFF"/>
        </w:rPr>
        <w:t xml:space="preserve">(Aug. 10, 2022), </w:t>
      </w:r>
      <w:hyperlink r:id="rId62" w:history="1">
        <w:r w:rsidR="002926E7" w:rsidRPr="002D32F4">
          <w:rPr>
            <w:rStyle w:val="Hyperlink"/>
            <w:sz w:val="20"/>
            <w:szCs w:val="20"/>
            <w:shd w:val="clear" w:color="auto" w:fill="FFFFFF"/>
          </w:rPr>
          <w:t>https://telehealth.hhs.gov/providers/policy-changes-during-the-covid-19-public-health-emergency/policy-changes-after-the-covid-19-public-health-emergency/</w:t>
        </w:r>
      </w:hyperlink>
      <w:r w:rsidRPr="00896642">
        <w:rPr>
          <w:sz w:val="20"/>
          <w:szCs w:val="20"/>
          <w:shd w:val="clear" w:color="auto" w:fill="FFFFFF"/>
        </w:rPr>
        <w:t xml:space="preserve"> </w:t>
      </w:r>
      <w:r w:rsidRPr="00896642">
        <w:rPr>
          <w:sz w:val="20"/>
          <w:szCs w:val="20"/>
        </w:rPr>
        <w:t>(</w:t>
      </w:r>
      <w:r w:rsidRPr="00896642">
        <w:rPr>
          <w:sz w:val="20"/>
          <w:szCs w:val="20"/>
          <w:shd w:val="clear" w:color="auto" w:fill="FFFFFF"/>
        </w:rPr>
        <w:t>“The current </w:t>
      </w:r>
      <w:r w:rsidRPr="00896642">
        <w:rPr>
          <w:rStyle w:val="text-no-wrap"/>
          <w:sz w:val="20"/>
          <w:szCs w:val="20"/>
          <w:shd w:val="clear" w:color="auto" w:fill="FFFFFF"/>
        </w:rPr>
        <w:t>COVID-19</w:t>
      </w:r>
      <w:r w:rsidRPr="00896642">
        <w:rPr>
          <w:sz w:val="20"/>
          <w:szCs w:val="20"/>
          <w:shd w:val="clear" w:color="auto" w:fill="FFFFFF"/>
        </w:rPr>
        <w:t> public health emergency declaration is effective through October 13, 2022. Once the end of the </w:t>
      </w:r>
      <w:r w:rsidRPr="00896642">
        <w:rPr>
          <w:rStyle w:val="text-no-wrap"/>
          <w:sz w:val="20"/>
          <w:szCs w:val="20"/>
          <w:shd w:val="clear" w:color="auto" w:fill="FFFFFF"/>
        </w:rPr>
        <w:t>COVID-19</w:t>
      </w:r>
      <w:r w:rsidRPr="00896642">
        <w:rPr>
          <w:sz w:val="20"/>
          <w:szCs w:val="20"/>
          <w:shd w:val="clear" w:color="auto" w:fill="FFFFFF"/>
        </w:rPr>
        <w:t> public health emergency occurs, the </w:t>
      </w:r>
      <w:hyperlink r:id="rId63" w:history="1">
        <w:r w:rsidRPr="00896642">
          <w:rPr>
            <w:rStyle w:val="Hyperlink"/>
            <w:color w:val="auto"/>
            <w:sz w:val="20"/>
            <w:szCs w:val="20"/>
            <w:u w:val="none"/>
            <w:shd w:val="clear" w:color="auto" w:fill="FFFFFF"/>
          </w:rPr>
          <w:t>Consolidated Appropriations Act, 2022</w:t>
        </w:r>
      </w:hyperlink>
      <w:r w:rsidR="00232551">
        <w:rPr>
          <w:sz w:val="20"/>
          <w:szCs w:val="20"/>
          <w:shd w:val="clear" w:color="auto" w:fill="FFFFFF"/>
        </w:rPr>
        <w:t xml:space="preserve"> </w:t>
      </w:r>
      <w:r w:rsidRPr="00896642">
        <w:rPr>
          <w:sz w:val="20"/>
          <w:szCs w:val="20"/>
          <w:shd w:val="clear" w:color="auto" w:fill="FFFFFF"/>
        </w:rPr>
        <w:t>… has ensured a 151-day extension period before many of the policies outlined in the </w:t>
      </w:r>
      <w:r w:rsidRPr="00896642">
        <w:rPr>
          <w:rStyle w:val="text-no-wrap"/>
          <w:sz w:val="20"/>
          <w:szCs w:val="20"/>
          <w:shd w:val="clear" w:color="auto" w:fill="FFFFFF"/>
        </w:rPr>
        <w:t>COVID-19</w:t>
      </w:r>
      <w:r w:rsidRPr="00896642">
        <w:rPr>
          <w:sz w:val="20"/>
          <w:szCs w:val="20"/>
          <w:shd w:val="clear" w:color="auto" w:fill="FFFFFF"/>
        </w:rPr>
        <w:t> public health emergency are set to expire, to allow for a transition period.”).</w:t>
      </w:r>
    </w:p>
  </w:footnote>
  <w:footnote w:id="79">
    <w:p w14:paraId="0A77EB3D" w14:textId="2426D81D" w:rsidR="007946CE" w:rsidRPr="007946CE" w:rsidRDefault="007946CE" w:rsidP="00885504">
      <w:pPr>
        <w:pStyle w:val="FootnoteText"/>
        <w:spacing w:before="120" w:after="120"/>
      </w:pPr>
      <w:r w:rsidRPr="007946CE">
        <w:rPr>
          <w:rStyle w:val="FootnoteReference"/>
        </w:rPr>
        <w:footnoteRef/>
      </w:r>
      <w:r w:rsidRPr="007946CE">
        <w:t xml:space="preserve"> </w:t>
      </w:r>
      <w:r w:rsidRPr="007946CE">
        <w:rPr>
          <w:rStyle w:val="cf01"/>
          <w:rFonts w:ascii="Times New Roman" w:hAnsi="Times New Roman" w:cs="Times New Roman"/>
          <w:sz w:val="20"/>
          <w:szCs w:val="20"/>
        </w:rPr>
        <w:t xml:space="preserve">We note that certain waivers and flexibilities under CMS rules during the pandemic have been considered or are actively being considered for continuation.  </w:t>
      </w:r>
      <w:r w:rsidRPr="00885504">
        <w:rPr>
          <w:rStyle w:val="cf11"/>
          <w:rFonts w:ascii="Times New Roman" w:hAnsi="Times New Roman" w:cs="Times New Roman"/>
          <w:i/>
          <w:iCs/>
          <w:sz w:val="20"/>
          <w:szCs w:val="20"/>
        </w:rPr>
        <w:t>See</w:t>
      </w:r>
      <w:r w:rsidRPr="00885504">
        <w:rPr>
          <w:rStyle w:val="cf11"/>
          <w:rFonts w:ascii="Times New Roman" w:hAnsi="Times New Roman" w:cs="Times New Roman"/>
          <w:sz w:val="20"/>
          <w:szCs w:val="20"/>
        </w:rPr>
        <w:t xml:space="preserve"> </w:t>
      </w:r>
      <w:r>
        <w:rPr>
          <w:rStyle w:val="cf11"/>
          <w:rFonts w:ascii="Times New Roman" w:hAnsi="Times New Roman" w:cs="Times New Roman"/>
          <w:sz w:val="20"/>
          <w:szCs w:val="20"/>
        </w:rPr>
        <w:t xml:space="preserve">CMS.gov, </w:t>
      </w:r>
      <w:r w:rsidRPr="00885504">
        <w:rPr>
          <w:rStyle w:val="cf11"/>
          <w:rFonts w:ascii="Times New Roman" w:hAnsi="Times New Roman" w:cs="Times New Roman"/>
          <w:i/>
          <w:iCs/>
          <w:sz w:val="20"/>
          <w:szCs w:val="20"/>
        </w:rPr>
        <w:t>Creating a Roadmap for the End of the COVID-19 Public Health Emergency</w:t>
      </w:r>
      <w:r>
        <w:rPr>
          <w:rStyle w:val="cf11"/>
          <w:rFonts w:ascii="Times New Roman" w:hAnsi="Times New Roman" w:cs="Times New Roman"/>
          <w:sz w:val="20"/>
          <w:szCs w:val="20"/>
        </w:rPr>
        <w:t xml:space="preserve"> (Aug. 18, 2022)</w:t>
      </w:r>
      <w:r w:rsidRPr="00885504">
        <w:rPr>
          <w:rStyle w:val="cf11"/>
          <w:rFonts w:ascii="Times New Roman" w:hAnsi="Times New Roman" w:cs="Times New Roman"/>
          <w:sz w:val="20"/>
          <w:szCs w:val="20"/>
        </w:rPr>
        <w:t xml:space="preserve">, </w:t>
      </w:r>
      <w:hyperlink r:id="rId64" w:history="1">
        <w:r w:rsidR="00885504" w:rsidRPr="002D32F4">
          <w:rPr>
            <w:rStyle w:val="Hyperlink"/>
          </w:rPr>
          <w:t>https://www.cms.gov/blog/creating-roadmap-end-covid-19-public-health-emergency</w:t>
        </w:r>
      </w:hyperlink>
      <w:r w:rsidRPr="007946CE">
        <w:rPr>
          <w:rStyle w:val="cf01"/>
          <w:rFonts w:ascii="Times New Roman" w:hAnsi="Times New Roman" w:cs="Times New Roman"/>
          <w:sz w:val="20"/>
          <w:szCs w:val="20"/>
        </w:rPr>
        <w:t>.  However, certain CMS rules or requirements that need to be eliminated or relaxed may require Congressional action.</w:t>
      </w:r>
    </w:p>
  </w:footnote>
  <w:footnote w:id="80">
    <w:p w14:paraId="194F59CE" w14:textId="72125FAF" w:rsidR="009958F9" w:rsidRPr="00635034" w:rsidRDefault="009958F9" w:rsidP="007946CE">
      <w:pPr>
        <w:pStyle w:val="FootnoteText"/>
        <w:spacing w:before="120" w:after="120"/>
      </w:pPr>
      <w:r w:rsidRPr="00635034">
        <w:rPr>
          <w:rStyle w:val="FootnoteReference"/>
        </w:rPr>
        <w:footnoteRef/>
      </w:r>
      <w:r w:rsidRPr="00635034">
        <w:t xml:space="preserve"> </w:t>
      </w:r>
      <w:r w:rsidRPr="00635034">
        <w:rPr>
          <w:i/>
          <w:iCs/>
        </w:rPr>
        <w:t>See</w:t>
      </w:r>
      <w:r w:rsidRPr="00635034">
        <w:t xml:space="preserve"> WHO.int, </w:t>
      </w:r>
      <w:r w:rsidRPr="001D1D57">
        <w:rPr>
          <w:i/>
          <w:iCs/>
        </w:rPr>
        <w:t>14.9 Million Excess Deaths Associated with the Covid-19 Pandemic in 2020 and 2021</w:t>
      </w:r>
      <w:r w:rsidRPr="00635034">
        <w:t xml:space="preserve">, </w:t>
      </w:r>
      <w:r w:rsidR="00FD6BA4" w:rsidRPr="00885504">
        <w:t xml:space="preserve">(May 5, 2022), </w:t>
      </w:r>
      <w:hyperlink r:id="rId65" w:history="1">
        <w:r w:rsidR="002926E7" w:rsidRPr="002D32F4">
          <w:rPr>
            <w:rStyle w:val="Hyperlink"/>
          </w:rPr>
          <w:t>https://www.who.int/news/item/05-05-2022-14.9-million-excess-deaths-were-associated-with-the-covid-19-pandemic-in-2020-and-2021</w:t>
        </w:r>
      </w:hyperlink>
      <w:r w:rsidRPr="00635034">
        <w:t>.</w:t>
      </w:r>
    </w:p>
  </w:footnote>
  <w:footnote w:id="81">
    <w:p w14:paraId="1434E092" w14:textId="22465E45" w:rsidR="009958F9" w:rsidRPr="00635034" w:rsidRDefault="009958F9" w:rsidP="00635034">
      <w:pPr>
        <w:pStyle w:val="FootnoteText"/>
        <w:spacing w:before="120" w:after="120"/>
      </w:pPr>
      <w:r w:rsidRPr="00635034">
        <w:rPr>
          <w:rStyle w:val="FootnoteReference"/>
        </w:rPr>
        <w:footnoteRef/>
      </w:r>
      <w:r w:rsidRPr="00635034">
        <w:t xml:space="preserve"> </w:t>
      </w:r>
      <w:r w:rsidRPr="00635034">
        <w:rPr>
          <w:i/>
          <w:iCs/>
        </w:rPr>
        <w:t>See</w:t>
      </w:r>
      <w:r w:rsidRPr="00635034">
        <w:t xml:space="preserve"> CDC.gov, </w:t>
      </w:r>
      <w:r w:rsidRPr="001D1D57">
        <w:rPr>
          <w:i/>
          <w:iCs/>
        </w:rPr>
        <w:t>CDC Data Tracker Weekly Review</w:t>
      </w:r>
      <w:r w:rsidRPr="00635034">
        <w:t xml:space="preserve">, </w:t>
      </w:r>
      <w:hyperlink r:id="rId66" w:anchor="trends_totaldeaths_select_00" w:history="1">
        <w:r w:rsidRPr="002D32F4">
          <w:rPr>
            <w:rStyle w:val="Hyperlink"/>
          </w:rPr>
          <w:t>https://covid.cdc.gov/covid-data-tracker/#trends_totaldeaths_select_00</w:t>
        </w:r>
      </w:hyperlink>
      <w:r w:rsidRPr="00635034">
        <w:t xml:space="preserve"> (last visited Aug</w:t>
      </w:r>
      <w:r>
        <w:t>.</w:t>
      </w:r>
      <w:r w:rsidRPr="00635034">
        <w:t xml:space="preserve"> 31, 2022).</w:t>
      </w:r>
    </w:p>
  </w:footnote>
  <w:footnote w:id="82">
    <w:p w14:paraId="4B980560" w14:textId="52BEFB6B" w:rsidR="009958F9" w:rsidRPr="00CC3DD1" w:rsidRDefault="009958F9" w:rsidP="009B1CB5">
      <w:pPr>
        <w:pStyle w:val="Heading1"/>
        <w:numPr>
          <w:ilvl w:val="0"/>
          <w:numId w:val="0"/>
        </w:numPr>
        <w:jc w:val="both"/>
        <w:rPr>
          <w:sz w:val="20"/>
          <w:szCs w:val="20"/>
        </w:rPr>
      </w:pPr>
      <w:r w:rsidRPr="00CC3DD1">
        <w:rPr>
          <w:rStyle w:val="FootnoteReference"/>
          <w:b w:val="0"/>
          <w:bCs w:val="0"/>
          <w:sz w:val="20"/>
          <w:szCs w:val="20"/>
        </w:rPr>
        <w:footnoteRef/>
      </w:r>
      <w:r w:rsidRPr="00CC3DD1">
        <w:rPr>
          <w:b w:val="0"/>
          <w:bCs w:val="0"/>
          <w:sz w:val="20"/>
          <w:szCs w:val="20"/>
        </w:rPr>
        <w:t xml:space="preserve"> </w:t>
      </w:r>
      <w:r w:rsidRPr="009B1224">
        <w:rPr>
          <w:b w:val="0"/>
          <w:bCs w:val="0"/>
          <w:i/>
          <w:iCs/>
          <w:sz w:val="20"/>
          <w:szCs w:val="20"/>
        </w:rPr>
        <w:t>See</w:t>
      </w:r>
      <w:r w:rsidRPr="009B1224">
        <w:rPr>
          <w:b w:val="0"/>
          <w:bCs w:val="0"/>
          <w:sz w:val="20"/>
          <w:szCs w:val="20"/>
        </w:rPr>
        <w:t xml:space="preserve"> Oguz Karcioglu, et al., </w:t>
      </w:r>
      <w:r w:rsidRPr="009B1224">
        <w:rPr>
          <w:b w:val="0"/>
          <w:bCs w:val="0"/>
          <w:i/>
          <w:iCs/>
          <w:sz w:val="20"/>
          <w:szCs w:val="20"/>
        </w:rPr>
        <w:t>Covid-19: The Biggest Threat of the 21st Century: In Respectful Memory of the Warriors All Over the World</w:t>
      </w:r>
      <w:r w:rsidRPr="009B1224">
        <w:rPr>
          <w:b w:val="0"/>
          <w:bCs w:val="0"/>
          <w:sz w:val="20"/>
          <w:szCs w:val="20"/>
        </w:rPr>
        <w:t>,</w:t>
      </w:r>
      <w:r>
        <w:rPr>
          <w:b w:val="0"/>
          <w:bCs w:val="0"/>
          <w:sz w:val="20"/>
          <w:szCs w:val="20"/>
        </w:rPr>
        <w:t xml:space="preserve"> </w:t>
      </w:r>
      <w:r w:rsidRPr="009B1224">
        <w:rPr>
          <w:b w:val="0"/>
          <w:bCs w:val="0"/>
          <w:sz w:val="20"/>
          <w:szCs w:val="20"/>
        </w:rPr>
        <w:t xml:space="preserve">21(6) Turk. Thorac J. 409 (2020) </w:t>
      </w:r>
      <w:hyperlink r:id="rId67" w:history="1">
        <w:r w:rsidRPr="002D32F4">
          <w:rPr>
            <w:rStyle w:val="Hyperlink"/>
            <w:b w:val="0"/>
            <w:bCs w:val="0"/>
            <w:sz w:val="20"/>
            <w:szCs w:val="20"/>
          </w:rPr>
          <w:t>https://pubmed.ncbi.nlm.nih.gov/33352097</w:t>
        </w:r>
      </w:hyperlink>
    </w:p>
  </w:footnote>
  <w:footnote w:id="83">
    <w:p w14:paraId="22130087" w14:textId="29707484" w:rsidR="009958F9" w:rsidRPr="00635034" w:rsidRDefault="009958F9" w:rsidP="00635034">
      <w:pPr>
        <w:pStyle w:val="FootnoteText"/>
        <w:spacing w:before="120" w:after="120"/>
      </w:pPr>
      <w:r w:rsidRPr="00635034">
        <w:rPr>
          <w:rStyle w:val="FootnoteReference"/>
        </w:rPr>
        <w:footnoteRef/>
      </w:r>
      <w:r w:rsidRPr="00635034">
        <w:t xml:space="preserve"> </w:t>
      </w:r>
      <w:r w:rsidRPr="00635034">
        <w:rPr>
          <w:i/>
          <w:iCs/>
        </w:rPr>
        <w:t>See</w:t>
      </w:r>
      <w:r w:rsidRPr="00635034">
        <w:t xml:space="preserve"> </w:t>
      </w:r>
      <w:r>
        <w:t>Ed Y</w:t>
      </w:r>
      <w:r w:rsidRPr="00635034">
        <w:t xml:space="preserve">ong, </w:t>
      </w:r>
      <w:r w:rsidRPr="001D1D57">
        <w:rPr>
          <w:i/>
          <w:iCs/>
        </w:rPr>
        <w:t>We’re Already Barreling Toward the Next Pandemic</w:t>
      </w:r>
      <w:r>
        <w:t xml:space="preserve"> (Sept. 21, 2021)</w:t>
      </w:r>
      <w:r w:rsidRPr="00635034">
        <w:t xml:space="preserve">, </w:t>
      </w:r>
      <w:hyperlink r:id="rId68" w:history="1">
        <w:r w:rsidR="00C56134">
          <w:rPr>
            <w:rStyle w:val="Hyperlink"/>
          </w:rPr>
          <w:t>https://www.theatlantic.com/health/archive/2021/09/america-prepared-next-pandemic/620238</w:t>
        </w:r>
      </w:hyperlink>
    </w:p>
  </w:footnote>
  <w:footnote w:id="84">
    <w:p w14:paraId="330A1C9D" w14:textId="09CEF5E6" w:rsidR="00902540" w:rsidRPr="00B200DD" w:rsidRDefault="009958F9" w:rsidP="005C0EEC">
      <w:pPr>
        <w:pStyle w:val="FootnoteText"/>
        <w:spacing w:before="120" w:after="120"/>
      </w:pPr>
      <w:r w:rsidRPr="00B200DD">
        <w:rPr>
          <w:rStyle w:val="FootnoteReference"/>
        </w:rPr>
        <w:footnoteRef/>
      </w:r>
      <w:r w:rsidRPr="00B200DD">
        <w:t xml:space="preserve"> See Krusheeta R. Patel, et al, </w:t>
      </w:r>
      <w:r w:rsidRPr="00B200DD">
        <w:rPr>
          <w:i/>
          <w:iCs/>
        </w:rPr>
        <w:t>Lessons from the COVID-19 Pandemic: Planning for Disaster Preparedness and Emergency Management in Hospitals</w:t>
      </w:r>
      <w:r>
        <w:rPr>
          <w:i/>
          <w:iCs/>
        </w:rPr>
        <w:t xml:space="preserve">, </w:t>
      </w:r>
      <w:r w:rsidRPr="00B200DD">
        <w:rPr>
          <w:caps/>
          <w:shd w:val="clear" w:color="auto" w:fill="FFFFFF"/>
        </w:rPr>
        <w:t>POSTED IN </w:t>
      </w:r>
      <w:hyperlink r:id="rId69" w:history="1">
        <w:r w:rsidRPr="00B200DD">
          <w:rPr>
            <w:rStyle w:val="Hyperlink"/>
            <w:caps/>
            <w:color w:val="auto"/>
            <w:u w:val="none"/>
            <w:shd w:val="clear" w:color="auto" w:fill="FFFFFF"/>
          </w:rPr>
          <w:t>COVID-19</w:t>
        </w:r>
      </w:hyperlink>
      <w:r w:rsidRPr="00B200DD">
        <w:rPr>
          <w:caps/>
          <w:shd w:val="clear" w:color="auto" w:fill="FFFFFF"/>
        </w:rPr>
        <w:t>, HOSPITALS &amp; HEALTH SYSTEMS</w:t>
      </w:r>
      <w:r w:rsidRPr="00B200DD">
        <w:rPr>
          <w:i/>
          <w:iCs/>
        </w:rPr>
        <w:t xml:space="preserve"> </w:t>
      </w:r>
      <w:r w:rsidRPr="00B200DD">
        <w:t>(</w:t>
      </w:r>
      <w:r>
        <w:t xml:space="preserve">Oct. 27, </w:t>
      </w:r>
      <w:r w:rsidRPr="00B200DD">
        <w:t xml:space="preserve">2021), </w:t>
      </w:r>
      <w:hyperlink r:id="rId70" w:history="1">
        <w:r w:rsidR="00C92C44" w:rsidRPr="00C92C44">
          <w:rPr>
            <w:rStyle w:val="Hyperlink"/>
          </w:rPr>
          <w:t>https://www.healthcarelawbrief.com/2021/10/lessons-from-the-covid-19-pandemic-planning-for-disaster-preparedness-and-emergency-management-in-hospitals</w:t>
        </w:r>
      </w:hyperlink>
      <w:r w:rsidR="00902540" w:rsidRPr="00526857">
        <w:t>.</w:t>
      </w:r>
    </w:p>
  </w:footnote>
  <w:footnote w:id="85">
    <w:p w14:paraId="0E385D29" w14:textId="650FBB76" w:rsidR="009958F9" w:rsidRDefault="009958F9" w:rsidP="005C0EEC">
      <w:pPr>
        <w:pStyle w:val="FootnoteText"/>
        <w:spacing w:before="120" w:after="120"/>
      </w:pPr>
      <w:r w:rsidRPr="00635034">
        <w:rPr>
          <w:rStyle w:val="FootnoteReference"/>
        </w:rPr>
        <w:footnoteRef/>
      </w:r>
      <w:r w:rsidRPr="00635034">
        <w:t xml:space="preserve"> </w:t>
      </w:r>
      <w:r w:rsidRPr="00635034">
        <w:rPr>
          <w:i/>
          <w:iCs/>
        </w:rPr>
        <w:t>Id.</w:t>
      </w:r>
    </w:p>
  </w:footnote>
  <w:footnote w:id="86">
    <w:p w14:paraId="42C41647" w14:textId="5CCA12C1" w:rsidR="005C0EEC" w:rsidRPr="005C0EEC" w:rsidRDefault="005C0EEC" w:rsidP="009226A1">
      <w:pPr>
        <w:pStyle w:val="FootnoteText"/>
        <w:spacing w:before="120" w:after="120"/>
      </w:pPr>
      <w:r w:rsidRPr="005C0EEC">
        <w:rPr>
          <w:rStyle w:val="FootnoteReference"/>
        </w:rPr>
        <w:footnoteRef/>
      </w:r>
      <w:r w:rsidRPr="005C0EEC">
        <w:t xml:space="preserve"> </w:t>
      </w:r>
      <w:r w:rsidRPr="009226A1">
        <w:rPr>
          <w:rStyle w:val="cf01"/>
          <w:rFonts w:ascii="Times New Roman" w:hAnsi="Times New Roman" w:cs="Times New Roman"/>
          <w:sz w:val="20"/>
          <w:szCs w:val="20"/>
        </w:rPr>
        <w:t xml:space="preserve">We note that </w:t>
      </w:r>
      <w:r>
        <w:rPr>
          <w:rStyle w:val="cf01"/>
          <w:rFonts w:ascii="Times New Roman" w:hAnsi="Times New Roman" w:cs="Times New Roman"/>
          <w:sz w:val="20"/>
          <w:szCs w:val="20"/>
        </w:rPr>
        <w:t xml:space="preserve">it is necessary to have </w:t>
      </w:r>
      <w:r w:rsidRPr="009226A1">
        <w:rPr>
          <w:rStyle w:val="cf01"/>
          <w:rFonts w:ascii="Times New Roman" w:hAnsi="Times New Roman" w:cs="Times New Roman"/>
          <w:sz w:val="20"/>
          <w:szCs w:val="20"/>
        </w:rPr>
        <w:t>rapid deployment of scalable telecommunications infrastructure as part of emergency planning to prepare for loss of telecommunications infrastructure (</w:t>
      </w:r>
      <w:r w:rsidRPr="009226A1">
        <w:rPr>
          <w:rStyle w:val="cf01"/>
          <w:rFonts w:ascii="Times New Roman" w:hAnsi="Times New Roman" w:cs="Times New Roman"/>
          <w:i/>
          <w:iCs/>
          <w:sz w:val="20"/>
          <w:szCs w:val="20"/>
        </w:rPr>
        <w:t>e.g</w:t>
      </w:r>
      <w:r>
        <w:rPr>
          <w:rStyle w:val="cf01"/>
          <w:rFonts w:ascii="Times New Roman" w:hAnsi="Times New Roman" w:cs="Times New Roman"/>
          <w:sz w:val="20"/>
          <w:szCs w:val="20"/>
        </w:rPr>
        <w:t xml:space="preserve">., </w:t>
      </w:r>
      <w:r w:rsidRPr="009226A1">
        <w:rPr>
          <w:rStyle w:val="cf01"/>
          <w:rFonts w:ascii="Times New Roman" w:hAnsi="Times New Roman" w:cs="Times New Roman"/>
          <w:sz w:val="20"/>
          <w:szCs w:val="20"/>
        </w:rPr>
        <w:t>cell towers, wireline telephone infrastructure</w:t>
      </w:r>
      <w:r>
        <w:rPr>
          <w:rStyle w:val="cf01"/>
          <w:rFonts w:ascii="Times New Roman" w:hAnsi="Times New Roman" w:cs="Times New Roman"/>
          <w:sz w:val="20"/>
          <w:szCs w:val="20"/>
        </w:rPr>
        <w:t>, etc.</w:t>
      </w:r>
      <w:r w:rsidRPr="009226A1">
        <w:rPr>
          <w:rStyle w:val="cf01"/>
          <w:rFonts w:ascii="Times New Roman" w:hAnsi="Times New Roman" w:cs="Times New Roman"/>
          <w:sz w:val="20"/>
          <w:szCs w:val="20"/>
        </w:rPr>
        <w:t>).</w:t>
      </w:r>
    </w:p>
  </w:footnote>
  <w:footnote w:id="87">
    <w:p w14:paraId="3AB549F4" w14:textId="2B5B3DE8" w:rsidR="00FA111E" w:rsidRDefault="00FA111E" w:rsidP="009226A1">
      <w:pPr>
        <w:pStyle w:val="FootnoteText"/>
        <w:spacing w:before="120" w:after="120"/>
      </w:pPr>
      <w:r w:rsidRPr="006F1DFE">
        <w:rPr>
          <w:rStyle w:val="FootnoteReference"/>
        </w:rPr>
        <w:footnoteRef/>
      </w:r>
      <w:r w:rsidR="006F1DFE" w:rsidRPr="006F1DFE">
        <w:t xml:space="preserve"> </w:t>
      </w:r>
      <w:r w:rsidR="006F1DFE" w:rsidRPr="009226A1">
        <w:rPr>
          <w:i/>
          <w:iCs/>
        </w:rPr>
        <w:t>See</w:t>
      </w:r>
      <w:r w:rsidR="006F1DFE" w:rsidRPr="006F1DFE">
        <w:t xml:space="preserve"> New Hampshire Bulletin, </w:t>
      </w:r>
      <w:r w:rsidR="006F1DFE" w:rsidRPr="009226A1">
        <w:rPr>
          <w:i/>
          <w:iCs/>
        </w:rPr>
        <w:t>The Word is Heartbreaking: As C</w:t>
      </w:r>
      <w:r w:rsidR="006F1DFE" w:rsidRPr="006F1DFE">
        <w:rPr>
          <w:i/>
          <w:iCs/>
        </w:rPr>
        <w:t>OVID</w:t>
      </w:r>
      <w:r w:rsidR="006F1DFE" w:rsidRPr="009226A1">
        <w:rPr>
          <w:i/>
          <w:iCs/>
        </w:rPr>
        <w:t xml:space="preserve"> Patients Fill Hospitals, Others are Turned Away</w:t>
      </w:r>
      <w:r w:rsidR="006F1DFE" w:rsidRPr="006F1DFE">
        <w:t>,</w:t>
      </w:r>
      <w:r w:rsidRPr="006F1DFE">
        <w:t xml:space="preserve"> </w:t>
      </w:r>
      <w:hyperlink r:id="rId71" w:history="1">
        <w:r w:rsidR="00C92C44" w:rsidRPr="00C92C44">
          <w:rPr>
            <w:rStyle w:val="Hyperlink"/>
          </w:rPr>
          <w:t>https://newhampshirebulletin.com/2022/01/05/the-word-is-heartbreaking-as-covid-patients-fill-hospitals-others-are-turned-away</w:t>
        </w:r>
      </w:hyperlink>
      <w:r w:rsidR="00EF578C" w:rsidRPr="006F1DFE">
        <w:t xml:space="preserve"> </w:t>
      </w:r>
      <w:r w:rsidR="006F1DFE" w:rsidRPr="006F1DFE">
        <w:t xml:space="preserve">(last visited Oct. 11, 2022) </w:t>
      </w:r>
      <w:r w:rsidR="00EF578C" w:rsidRPr="006F1DFE">
        <w:t>(“</w:t>
      </w:r>
      <w:r w:rsidR="00EF578C" w:rsidRPr="009226A1">
        <w:rPr>
          <w:shd w:val="clear" w:color="auto" w:fill="FFFFFF"/>
        </w:rPr>
        <w:t>There's no way to quantify how many Americans are now suffering serious, if not irreversible, harm to their health because hospitals are buckling under the weight of the omicron variant of the coronavirus. But doctors say the consequences are far-reaching, given how many procedures have been postponed.”).</w:t>
      </w:r>
    </w:p>
  </w:footnote>
  <w:footnote w:id="88">
    <w:p w14:paraId="061D13CD" w14:textId="343DB423" w:rsidR="009958F9" w:rsidRPr="00D84D22" w:rsidRDefault="009958F9" w:rsidP="006C4E5E">
      <w:pPr>
        <w:pStyle w:val="FootnoteText"/>
        <w:spacing w:before="120" w:after="120"/>
      </w:pPr>
      <w:r w:rsidRPr="00D84D22">
        <w:rPr>
          <w:rStyle w:val="FootnoteReference"/>
        </w:rPr>
        <w:footnoteRef/>
      </w:r>
      <w:r w:rsidRPr="00D84D22">
        <w:t xml:space="preserve"> FCC.gov, </w:t>
      </w:r>
      <w:r w:rsidRPr="00D84D22">
        <w:rPr>
          <w:i/>
          <w:iCs/>
        </w:rPr>
        <w:t>E-Rate – Schools &amp; Libraries USF Program</w:t>
      </w:r>
      <w:r w:rsidRPr="009226A1">
        <w:rPr>
          <w:color w:val="000000" w:themeColor="text1"/>
        </w:rPr>
        <w:t xml:space="preserve">, </w:t>
      </w:r>
      <w:r w:rsidR="00355AC6" w:rsidRPr="009226A1">
        <w:rPr>
          <w:color w:val="000000" w:themeColor="text1"/>
        </w:rPr>
        <w:t xml:space="preserve">(Oct. 5, 2022), </w:t>
      </w:r>
      <w:hyperlink r:id="rId72" w:history="1">
        <w:r w:rsidR="009226A1" w:rsidRPr="00C92C44">
          <w:rPr>
            <w:rStyle w:val="Hyperlink"/>
          </w:rPr>
          <w:t>https://www.fcc.gov/general/e-rate-schools-libraries-usf-program</w:t>
        </w:r>
      </w:hyperlink>
      <w:r w:rsidR="00047155">
        <w:t xml:space="preserve"> </w:t>
      </w:r>
      <w:r w:rsidRPr="00D84D22">
        <w:t>(“The schools and libraries universal service support program, commonly known as the E-rate program, helps schools and libraries to obtain affordable broadband… The E-rate program is administered by the Universal Service Administrative Company under the direction of the FCC.”).</w:t>
      </w:r>
    </w:p>
  </w:footnote>
  <w:footnote w:id="89">
    <w:p w14:paraId="248D5559" w14:textId="4D53A843" w:rsidR="009958F9" w:rsidRPr="00D84D22" w:rsidRDefault="009958F9" w:rsidP="006C4E5E">
      <w:pPr>
        <w:pStyle w:val="FootnoteText"/>
        <w:spacing w:before="120" w:after="120"/>
      </w:pPr>
      <w:r w:rsidRPr="00D84D22">
        <w:rPr>
          <w:rStyle w:val="FootnoteReference"/>
        </w:rPr>
        <w:footnoteRef/>
      </w:r>
      <w:r w:rsidRPr="00D84D22">
        <w:t xml:space="preserve"> </w:t>
      </w:r>
      <w:r w:rsidRPr="00D84D22">
        <w:rPr>
          <w:i/>
          <w:iCs/>
        </w:rPr>
        <w:t xml:space="preserve">See </w:t>
      </w:r>
      <w:r w:rsidRPr="00D84D22">
        <w:t>Ohio Resources Network</w:t>
      </w:r>
      <w:r w:rsidRPr="00D84D22">
        <w:rPr>
          <w:i/>
          <w:iCs/>
        </w:rPr>
        <w:t>,</w:t>
      </w:r>
      <w:r w:rsidRPr="00D84D22">
        <w:t xml:space="preserve"> </w:t>
      </w:r>
      <w:hyperlink r:id="rId73" w:history="1">
        <w:r w:rsidRPr="00C92C44">
          <w:rPr>
            <w:rStyle w:val="Hyperlink"/>
          </w:rPr>
          <w:t>https://www.oar.net/</w:t>
        </w:r>
        <w:r w:rsidR="00850067" w:rsidRPr="00C92C44">
          <w:rPr>
            <w:rStyle w:val="Hyperlink"/>
          </w:rPr>
          <w:t>about/history</w:t>
        </w:r>
      </w:hyperlink>
      <w:r w:rsidRPr="00D84D22">
        <w:t xml:space="preserve"> </w:t>
      </w:r>
      <w:r w:rsidRPr="00D84D22">
        <w:rPr>
          <w:shd w:val="clear" w:color="auto" w:fill="FFFFFF"/>
        </w:rPr>
        <w:t xml:space="preserve">(last visited </w:t>
      </w:r>
      <w:r w:rsidR="00850067">
        <w:rPr>
          <w:shd w:val="clear" w:color="auto" w:fill="FFFFFF"/>
        </w:rPr>
        <w:t>Oct</w:t>
      </w:r>
      <w:r w:rsidRPr="00D84D22">
        <w:rPr>
          <w:shd w:val="clear" w:color="auto" w:fill="FFFFFF"/>
        </w:rPr>
        <w:t xml:space="preserve">. </w:t>
      </w:r>
      <w:r w:rsidR="00850067">
        <w:rPr>
          <w:shd w:val="clear" w:color="auto" w:fill="FFFFFF"/>
        </w:rPr>
        <w:t>2</w:t>
      </w:r>
      <w:r w:rsidRPr="00D84D22">
        <w:rPr>
          <w:shd w:val="clear" w:color="auto" w:fill="FFFFFF"/>
        </w:rPr>
        <w:t xml:space="preserve">1, 2022) </w:t>
      </w:r>
      <w:r w:rsidRPr="00D84D22">
        <w:t>(“</w:t>
      </w:r>
      <w:r w:rsidRPr="00D84D22">
        <w:rPr>
          <w:shd w:val="clear" w:color="auto" w:fill="FFFFFF"/>
        </w:rPr>
        <w:t>The Ohio Academic Resources Network was created in 1987 by the Ohio Board of Regents, now the Ohio Department of Higher Education, through legislation by the Ohio General Assembly…  Exponentially increasing demand from college and university researchers for statewide connectivity and increased bandwidth led to the acquisition of dark fiber to create a highly scalable, fiber-optic infrastructure, launched in November 2004… Today, the OARnet network consists of more than 5,500 miles of fiber-optic backbone operating at ultrafast 100 Gbps speeds. The network blankets the state, providing connectivity to Ohio's colleges and universities, K-12 schools, public broadcasting stations, academic medical centers, government agencies, and partnering research organizations.”).</w:t>
      </w:r>
    </w:p>
  </w:footnote>
  <w:footnote w:id="90">
    <w:p w14:paraId="5D1001CF" w14:textId="1A2F916C" w:rsidR="009958F9" w:rsidRPr="007C5E80" w:rsidRDefault="009958F9" w:rsidP="006C4E5E">
      <w:pPr>
        <w:pStyle w:val="FootnoteText"/>
        <w:spacing w:before="120" w:after="120"/>
      </w:pPr>
      <w:r w:rsidRPr="00D84D22">
        <w:rPr>
          <w:rStyle w:val="FootnoteReference"/>
        </w:rPr>
        <w:footnoteRef/>
      </w:r>
      <w:r w:rsidRPr="00D84D22">
        <w:t xml:space="preserve"> See InnovateOhio.gov, </w:t>
      </w:r>
      <w:r w:rsidRPr="00D84D22">
        <w:rPr>
          <w:i/>
          <w:iCs/>
        </w:rPr>
        <w:t>Telehealth in Schools Blueprint</w:t>
      </w:r>
      <w:r w:rsidRPr="00D84D22">
        <w:t xml:space="preserve">, </w:t>
      </w:r>
      <w:hyperlink r:id="rId74" w:history="1">
        <w:r w:rsidR="00D30216" w:rsidRPr="00C92C44">
          <w:rPr>
            <w:rStyle w:val="Hyperlink"/>
          </w:rPr>
          <w:t>https://innovateohio.gov/priorities/resources/broadband/telehealth-blueprint</w:t>
        </w:r>
      </w:hyperlink>
      <w:r w:rsidR="00902540">
        <w:t xml:space="preserve"> </w:t>
      </w:r>
      <w:r w:rsidRPr="00D84D22">
        <w:t xml:space="preserve">(last visited Aug. 11, 2022). </w:t>
      </w:r>
    </w:p>
  </w:footnote>
  <w:footnote w:id="91">
    <w:p w14:paraId="4A22512B" w14:textId="408D1C6C" w:rsidR="009958F9" w:rsidRPr="007C5E80" w:rsidRDefault="009958F9" w:rsidP="006C4E5E">
      <w:pPr>
        <w:pStyle w:val="FootnoteText"/>
        <w:spacing w:before="120" w:after="120"/>
      </w:pPr>
      <w:r w:rsidRPr="007C5E80">
        <w:rPr>
          <w:rStyle w:val="FootnoteReference"/>
        </w:rPr>
        <w:footnoteRef/>
      </w:r>
      <w:r w:rsidRPr="007C5E80">
        <w:t xml:space="preserve"> </w:t>
      </w:r>
      <w:r w:rsidRPr="007C5E80">
        <w:rPr>
          <w:i/>
          <w:iCs/>
        </w:rPr>
        <w:t xml:space="preserve">See </w:t>
      </w:r>
      <w:r w:rsidRPr="007C5E80">
        <w:t>InnovateOhio.gov</w:t>
      </w:r>
      <w:r w:rsidRPr="007C5E80">
        <w:rPr>
          <w:i/>
          <w:iCs/>
        </w:rPr>
        <w:t>,</w:t>
      </w:r>
      <w:r w:rsidRPr="007C5E80">
        <w:t xml:space="preserve"> </w:t>
      </w:r>
      <w:r w:rsidRPr="00D84D22">
        <w:rPr>
          <w:i/>
          <w:iCs/>
        </w:rPr>
        <w:t xml:space="preserve">Husted Announces Broadband Expansion Project Connecting Students with Telehealth Services in Zanesville, Surrounding </w:t>
      </w:r>
      <w:r w:rsidRPr="00945BB5">
        <w:rPr>
          <w:i/>
          <w:iCs/>
          <w:color w:val="000000" w:themeColor="text1"/>
        </w:rPr>
        <w:t>Counties</w:t>
      </w:r>
      <w:r w:rsidR="00355AC6" w:rsidRPr="00945BB5">
        <w:rPr>
          <w:i/>
          <w:iCs/>
          <w:color w:val="000000" w:themeColor="text1"/>
        </w:rPr>
        <w:t xml:space="preserve"> </w:t>
      </w:r>
      <w:r w:rsidR="00355AC6" w:rsidRPr="00945BB5">
        <w:rPr>
          <w:color w:val="000000" w:themeColor="text1"/>
        </w:rPr>
        <w:t>(May 26, 2021)</w:t>
      </w:r>
      <w:r w:rsidRPr="00945BB5">
        <w:rPr>
          <w:color w:val="000000" w:themeColor="text1"/>
        </w:rPr>
        <w:t xml:space="preserve">, </w:t>
      </w:r>
      <w:hyperlink r:id="rId75" w:history="1">
        <w:r w:rsidR="00D30216" w:rsidRPr="00C92C44">
          <w:rPr>
            <w:rStyle w:val="Hyperlink"/>
          </w:rPr>
          <w:t>https://innovateohio.gov/news/news-and-events/052621</w:t>
        </w:r>
      </w:hyperlink>
      <w:r w:rsidRPr="007C5E80">
        <w:rPr>
          <w:shd w:val="clear" w:color="auto" w:fill="FFFFFF"/>
        </w:rPr>
        <w:t>.</w:t>
      </w:r>
    </w:p>
  </w:footnote>
  <w:footnote w:id="92">
    <w:p w14:paraId="2190B8D6" w14:textId="17F78EDD" w:rsidR="009958F9" w:rsidRPr="008B07F0" w:rsidRDefault="009958F9" w:rsidP="006C4E5E">
      <w:pPr>
        <w:pStyle w:val="FootnoteText"/>
        <w:spacing w:before="120" w:after="120"/>
      </w:pPr>
      <w:r w:rsidRPr="008B07F0">
        <w:rPr>
          <w:rStyle w:val="FootnoteReference"/>
        </w:rPr>
        <w:footnoteRef/>
      </w:r>
      <w:r w:rsidRPr="008B07F0">
        <w:t xml:space="preserve"> </w:t>
      </w:r>
      <w:r w:rsidRPr="008B07F0">
        <w:rPr>
          <w:i/>
          <w:iCs/>
        </w:rPr>
        <w:t xml:space="preserve">See </w:t>
      </w:r>
      <w:r w:rsidRPr="008B07F0">
        <w:t>Megan Kirk</w:t>
      </w:r>
      <w:r w:rsidRPr="008B07F0">
        <w:rPr>
          <w:i/>
          <w:iCs/>
        </w:rPr>
        <w:t xml:space="preserve">, Detroit Seniors Gain Access to Technology with Connect 313 </w:t>
      </w:r>
      <w:r w:rsidRPr="008B07F0">
        <w:t xml:space="preserve">(Nov. 5, 2020), </w:t>
      </w:r>
      <w:hyperlink r:id="rId76" w:history="1">
        <w:r w:rsidR="00D30216" w:rsidRPr="00C92C44">
          <w:rPr>
            <w:rStyle w:val="Hyperlink"/>
          </w:rPr>
          <w:t>https://michiganchronicle.com/2020/11/05/detroit-seniors-gain-access-to-technology-with-connect-313</w:t>
        </w:r>
      </w:hyperlink>
      <w:r w:rsidR="009271DB">
        <w:t>.</w:t>
      </w:r>
    </w:p>
  </w:footnote>
  <w:footnote w:id="93">
    <w:p w14:paraId="58BC17A5" w14:textId="3344452F" w:rsidR="009958F9" w:rsidRPr="009A51DA" w:rsidRDefault="009958F9" w:rsidP="00582E94">
      <w:pPr>
        <w:pStyle w:val="FootnoteText"/>
        <w:spacing w:before="120" w:after="120"/>
      </w:pPr>
      <w:bookmarkStart w:id="84" w:name="_Hlk115085219"/>
      <w:r w:rsidRPr="002E7435">
        <w:rPr>
          <w:rStyle w:val="FootnoteReference"/>
        </w:rPr>
        <w:footnoteRef/>
      </w:r>
      <w:r w:rsidRPr="002E7435">
        <w:t xml:space="preserve"> </w:t>
      </w:r>
      <w:r w:rsidR="002C063F" w:rsidRPr="002E7435">
        <w:rPr>
          <w:i/>
          <w:iCs/>
        </w:rPr>
        <w:t>See</w:t>
      </w:r>
      <w:r w:rsidR="00C65A37" w:rsidRPr="002E7435">
        <w:t xml:space="preserve"> 47 CFR §54.612 (</w:t>
      </w:r>
      <w:r w:rsidR="002E7435" w:rsidRPr="002E7435">
        <w:t>e</w:t>
      </w:r>
      <w:r w:rsidR="00C65A37" w:rsidRPr="002E7435">
        <w:t xml:space="preserve">ligible services) and 47 CFR </w:t>
      </w:r>
      <w:r w:rsidR="002E7435" w:rsidRPr="002E7435">
        <w:t xml:space="preserve">§54.613 (eligible equipment). </w:t>
      </w:r>
      <w:bookmarkEnd w:id="84"/>
    </w:p>
  </w:footnote>
  <w:footnote w:id="94">
    <w:p w14:paraId="2738DCF0" w14:textId="783F6E06" w:rsidR="00357546" w:rsidRPr="000D147A" w:rsidRDefault="00357546" w:rsidP="00357546">
      <w:pPr>
        <w:pStyle w:val="FootnoteText"/>
        <w:spacing w:before="120" w:after="120"/>
      </w:pPr>
      <w:r w:rsidRPr="002A5D81">
        <w:rPr>
          <w:rStyle w:val="FootnoteReference"/>
        </w:rPr>
        <w:footnoteRef/>
      </w:r>
      <w:r w:rsidRPr="002A5D81">
        <w:t xml:space="preserve"> </w:t>
      </w:r>
      <w:r w:rsidRPr="002A5D81">
        <w:rPr>
          <w:i/>
          <w:iCs/>
        </w:rPr>
        <w:t xml:space="preserve">See </w:t>
      </w:r>
      <w:r w:rsidRPr="002A5D81">
        <w:t>BroadbandUSA,</w:t>
      </w:r>
      <w:r w:rsidRPr="002A5D81">
        <w:rPr>
          <w:i/>
          <w:iCs/>
        </w:rPr>
        <w:t xml:space="preserve"> Broadband Equity, Access, and Deployment Program (BEAD)</w:t>
      </w:r>
      <w:r>
        <w:rPr>
          <w:i/>
          <w:iCs/>
        </w:rPr>
        <w:t xml:space="preserve"> </w:t>
      </w:r>
      <w:r w:rsidRPr="00727F21">
        <w:t>(Sept. 12, 2022),</w:t>
      </w:r>
      <w:r w:rsidRPr="00D77374">
        <w:t xml:space="preserve"> </w:t>
      </w:r>
      <w:hyperlink r:id="rId77" w:history="1">
        <w:r w:rsidRPr="00C92C44">
          <w:rPr>
            <w:rStyle w:val="Hyperlink"/>
          </w:rPr>
          <w:t>https://broadbandusa.ntia.doc.gov/broadband-equity-access-and-deployment-bead-program</w:t>
        </w:r>
      </w:hyperlink>
      <w:r w:rsidRPr="002A5D81">
        <w:t>.</w:t>
      </w:r>
    </w:p>
  </w:footnote>
  <w:footnote w:id="95">
    <w:p w14:paraId="78304AA6" w14:textId="7E1E4683" w:rsidR="009958F9" w:rsidRPr="009A51DA" w:rsidRDefault="009958F9" w:rsidP="006A30D8">
      <w:pPr>
        <w:pStyle w:val="FootnoteText"/>
        <w:spacing w:before="120" w:after="120"/>
      </w:pPr>
      <w:r w:rsidRPr="00773BA4">
        <w:rPr>
          <w:rStyle w:val="FootnoteReference"/>
        </w:rPr>
        <w:footnoteRef/>
      </w:r>
      <w:r w:rsidRPr="00773BA4">
        <w:t xml:space="preserve"> </w:t>
      </w:r>
      <w:r w:rsidRPr="00773BA4">
        <w:rPr>
          <w:i/>
          <w:iCs/>
        </w:rPr>
        <w:t>See</w:t>
      </w:r>
      <w:r w:rsidRPr="00773BA4">
        <w:t xml:space="preserve"> </w:t>
      </w:r>
      <w:r w:rsidRPr="00773BA4">
        <w:rPr>
          <w:i/>
          <w:iCs/>
        </w:rPr>
        <w:t>IHS Telehealth Programs</w:t>
      </w:r>
      <w:r w:rsidRPr="00773BA4">
        <w:t xml:space="preserve">, </w:t>
      </w:r>
      <w:hyperlink r:id="rId78" w:history="1">
        <w:r w:rsidR="00471F64" w:rsidRPr="00C92C44">
          <w:rPr>
            <w:rStyle w:val="Hyperlink"/>
          </w:rPr>
          <w:t>https://www.ihs.gov/telehealth/telehealthprograms/</w:t>
        </w:r>
      </w:hyperlink>
      <w:r w:rsidR="009271DB">
        <w:t xml:space="preserve"> </w:t>
      </w:r>
      <w:r w:rsidR="00512039">
        <w:t xml:space="preserve">(last visited Oct. 17, 2022) </w:t>
      </w:r>
      <w:r>
        <w:t>(</w:t>
      </w:r>
      <w:r>
        <w:rPr>
          <w:shd w:val="clear" w:color="auto" w:fill="FFFFFF"/>
        </w:rPr>
        <w:t>t</w:t>
      </w:r>
      <w:r w:rsidRPr="00773BA4">
        <w:rPr>
          <w:shd w:val="clear" w:color="auto" w:fill="FFFFFF"/>
        </w:rPr>
        <w:t>he IHS-Joslin Vision Network </w:t>
      </w:r>
      <w:r w:rsidR="00512039" w:rsidRPr="00727F21">
        <w:t>Teleophthalmology Program</w:t>
      </w:r>
      <w:r>
        <w:rPr>
          <w:shd w:val="clear" w:color="auto" w:fill="FFFFFF"/>
        </w:rPr>
        <w:t xml:space="preserve"> </w:t>
      </w:r>
      <w:r w:rsidRPr="00773BA4">
        <w:rPr>
          <w:shd w:val="clear" w:color="auto" w:fill="FFFFFF"/>
        </w:rPr>
        <w:t>is dedicated to preventing diabetes-related blindness and the</w:t>
      </w:r>
      <w:r>
        <w:rPr>
          <w:shd w:val="clear" w:color="auto" w:fill="FFFFFF"/>
        </w:rPr>
        <w:t xml:space="preserve"> </w:t>
      </w:r>
      <w:r w:rsidRPr="00773BA4">
        <w:rPr>
          <w:shd w:val="clear" w:color="auto" w:fill="FFFFFF"/>
        </w:rPr>
        <w:t>IHS</w:t>
      </w:r>
      <w:r w:rsidR="001551E9">
        <w:rPr>
          <w:shd w:val="clear" w:color="auto" w:fill="FFFFFF"/>
        </w:rPr>
        <w:t xml:space="preserve"> </w:t>
      </w:r>
      <w:r w:rsidRPr="00773BA4">
        <w:rPr>
          <w:shd w:val="clear" w:color="auto" w:fill="FFFFFF"/>
        </w:rPr>
        <w:t>Telebehavioral Health Center of Excellence provides, promotes, and supports the delivery of high-quality, culturally sensitive telebehavioral health services to American Indian/Alaska Native people).</w:t>
      </w:r>
    </w:p>
  </w:footnote>
  <w:footnote w:id="96">
    <w:p w14:paraId="0AFC2D0E" w14:textId="6F479B2C" w:rsidR="00F73A62" w:rsidRPr="00F73A62" w:rsidRDefault="00F73A62" w:rsidP="005A6FFB">
      <w:pPr>
        <w:pStyle w:val="FootnoteText"/>
        <w:spacing w:before="120" w:after="120"/>
      </w:pPr>
      <w:r w:rsidRPr="00F73A62">
        <w:rPr>
          <w:rStyle w:val="FootnoteReference"/>
        </w:rPr>
        <w:footnoteRef/>
      </w:r>
      <w:r w:rsidRPr="00F73A62">
        <w:t xml:space="preserve"> We believe </w:t>
      </w:r>
      <w:r w:rsidR="006331A2">
        <w:t xml:space="preserve">that </w:t>
      </w:r>
      <w:r w:rsidRPr="00F73A62">
        <w:t xml:space="preserve">an important stakeholder </w:t>
      </w:r>
      <w:r w:rsidR="00664BC2">
        <w:t>in these recommendations</w:t>
      </w:r>
      <w:r w:rsidR="006331A2">
        <w:t xml:space="preserve"> </w:t>
      </w:r>
      <w:r w:rsidRPr="00F73A62">
        <w:t xml:space="preserve">is </w:t>
      </w:r>
      <w:r w:rsidRPr="005A6FFB">
        <w:t xml:space="preserve">the Office of the National Coordinator for Health IT, </w:t>
      </w:r>
      <w:r w:rsidRPr="005A6FFB">
        <w:rPr>
          <w:color w:val="333333"/>
          <w:shd w:val="clear" w:color="auto" w:fill="FFFFFF"/>
        </w:rPr>
        <w:t>the principal federal entity charged with coordination of nationwide efforts to implement and use the most advanced health information technology and the electronic exchange of health information</w:t>
      </w:r>
      <w:r w:rsidRPr="005A6FFB">
        <w:t>.</w:t>
      </w:r>
      <w:r w:rsidR="008D093C">
        <w:t xml:space="preserve"> </w:t>
      </w:r>
      <w:r w:rsidR="006331A2">
        <w:t xml:space="preserve"> </w:t>
      </w:r>
      <w:r w:rsidR="006331A2" w:rsidRPr="005A6FFB">
        <w:rPr>
          <w:i/>
          <w:iCs/>
        </w:rPr>
        <w:t>See</w:t>
      </w:r>
      <w:r w:rsidR="00927273">
        <w:t xml:space="preserve"> HealthIT.gov</w:t>
      </w:r>
      <w:r w:rsidR="00927273" w:rsidRPr="005A6FFB">
        <w:rPr>
          <w:i/>
          <w:iCs/>
        </w:rPr>
        <w:t>, About ONC</w:t>
      </w:r>
      <w:r w:rsidR="00927273">
        <w:t>,</w:t>
      </w:r>
      <w:r w:rsidR="006331A2">
        <w:t xml:space="preserve"> </w:t>
      </w:r>
      <w:hyperlink r:id="rId79" w:history="1">
        <w:r w:rsidR="005A6FFB" w:rsidRPr="00C92C44">
          <w:rPr>
            <w:rStyle w:val="Hyperlink"/>
          </w:rPr>
          <w:t>https://www.healthit.gov/topic/about-onc</w:t>
        </w:r>
      </w:hyperlink>
      <w:r w:rsidR="00927273">
        <w:t xml:space="preserve"> (last visited Oct. 17,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424"/>
    <w:multiLevelType w:val="hybridMultilevel"/>
    <w:tmpl w:val="D77AECAA"/>
    <w:lvl w:ilvl="0" w:tplc="FA169FDC">
      <w:start w:val="1"/>
      <w:numFmt w:val="upperLetter"/>
      <w:lvlText w:val="%1."/>
      <w:lvlJc w:val="left"/>
      <w:pPr>
        <w:ind w:left="4500" w:hanging="720"/>
      </w:pPr>
      <w:rPr>
        <w:rFonts w:ascii="Times New Roman" w:eastAsia="Times New Roman" w:hAnsi="Times New Roman" w:cs="Times New Roman" w:hint="default"/>
        <w:b/>
        <w:bCs/>
        <w:i w:val="0"/>
        <w:iCs w:val="0"/>
        <w:spacing w:val="-1"/>
        <w:w w:val="99"/>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01847"/>
    <w:multiLevelType w:val="hybridMultilevel"/>
    <w:tmpl w:val="3FDAE2CC"/>
    <w:lvl w:ilvl="0" w:tplc="AA807BA6">
      <w:start w:val="1"/>
      <w:numFmt w:val="lowerLetter"/>
      <w:pStyle w:val="Heading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D3B28"/>
    <w:multiLevelType w:val="hybridMultilevel"/>
    <w:tmpl w:val="5B1E0EA8"/>
    <w:lvl w:ilvl="0" w:tplc="21F65832">
      <w:start w:val="1"/>
      <w:numFmt w:val="decimal"/>
      <w:lvlText w:val="%1."/>
      <w:lvlJc w:val="left"/>
      <w:pPr>
        <w:ind w:left="2260" w:hanging="720"/>
      </w:pPr>
      <w:rPr>
        <w:rFonts w:ascii="Times New Roman" w:eastAsia="Times New Roman" w:hAnsi="Times New Roman" w:cs="Times New Roman" w:hint="default"/>
        <w:b/>
        <w:bCs/>
        <w:i w:val="0"/>
        <w:iCs w:val="0"/>
        <w:w w:val="99"/>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6298A"/>
    <w:multiLevelType w:val="hybridMultilevel"/>
    <w:tmpl w:val="0C80D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3A3CEC"/>
    <w:multiLevelType w:val="multilevel"/>
    <w:tmpl w:val="F0DCB3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4D2B31"/>
    <w:multiLevelType w:val="hybridMultilevel"/>
    <w:tmpl w:val="4FE2EFA8"/>
    <w:lvl w:ilvl="0" w:tplc="21F65832">
      <w:start w:val="1"/>
      <w:numFmt w:val="decimal"/>
      <w:lvlText w:val="%1."/>
      <w:lvlJc w:val="left"/>
      <w:pPr>
        <w:ind w:left="2260" w:hanging="720"/>
      </w:pPr>
      <w:rPr>
        <w:rFonts w:ascii="Times New Roman" w:eastAsia="Times New Roman" w:hAnsi="Times New Roman" w:cs="Times New Roman" w:hint="default"/>
        <w:b/>
        <w:bCs/>
        <w:i w:val="0"/>
        <w:iCs w:val="0"/>
        <w:w w:val="99"/>
        <w:sz w:val="22"/>
        <w:szCs w:val="22"/>
        <w:lang w:val="en-US" w:eastAsia="en-US"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EE57D7"/>
    <w:multiLevelType w:val="hybridMultilevel"/>
    <w:tmpl w:val="3684C31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147876DB"/>
    <w:multiLevelType w:val="multilevel"/>
    <w:tmpl w:val="00449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6173E3"/>
    <w:multiLevelType w:val="hybridMultilevel"/>
    <w:tmpl w:val="FD9276E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19F63B5C"/>
    <w:multiLevelType w:val="hybridMultilevel"/>
    <w:tmpl w:val="D77C6020"/>
    <w:lvl w:ilvl="0" w:tplc="1180A2E8">
      <w:start w:val="1"/>
      <w:numFmt w:val="decimal"/>
      <w:pStyle w:val="Heading3"/>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C2611AB"/>
    <w:multiLevelType w:val="multilevel"/>
    <w:tmpl w:val="0ECC1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E166E4"/>
    <w:multiLevelType w:val="hybridMultilevel"/>
    <w:tmpl w:val="DDE4036A"/>
    <w:lvl w:ilvl="0" w:tplc="FFFFFFFF">
      <w:start w:val="1"/>
      <w:numFmt w:val="upperLetter"/>
      <w:lvlText w:val="%1."/>
      <w:lvlJc w:val="left"/>
      <w:pPr>
        <w:ind w:left="1540" w:hanging="720"/>
      </w:pPr>
      <w:rPr>
        <w:rFonts w:ascii="Times New Roman" w:eastAsia="Times New Roman" w:hAnsi="Times New Roman" w:cs="Times New Roman" w:hint="default"/>
        <w:b/>
        <w:bCs/>
        <w:i w:val="0"/>
        <w:iCs w:val="0"/>
        <w:spacing w:val="-1"/>
        <w:w w:val="99"/>
        <w:sz w:val="22"/>
        <w:szCs w:val="22"/>
        <w:lang w:val="en-US" w:eastAsia="en-US" w:bidi="ar-SA"/>
      </w:rPr>
    </w:lvl>
    <w:lvl w:ilvl="1" w:tplc="FFFFFFFF">
      <w:start w:val="1"/>
      <w:numFmt w:val="decimal"/>
      <w:lvlText w:val="%2."/>
      <w:lvlJc w:val="left"/>
      <w:pPr>
        <w:ind w:left="2260" w:hanging="720"/>
      </w:pPr>
      <w:rPr>
        <w:rFonts w:hint="default"/>
        <w:w w:val="99"/>
        <w:lang w:val="en-US" w:eastAsia="en-US" w:bidi="ar-SA"/>
      </w:rPr>
    </w:lvl>
    <w:lvl w:ilvl="2" w:tplc="FFFFFFFF">
      <w:start w:val="1"/>
      <w:numFmt w:val="lowerLetter"/>
      <w:lvlText w:val="%3."/>
      <w:lvlJc w:val="left"/>
      <w:pPr>
        <w:ind w:left="2980" w:hanging="720"/>
      </w:pPr>
      <w:rPr>
        <w:rFonts w:hint="default"/>
        <w:spacing w:val="-1"/>
        <w:w w:val="99"/>
        <w:lang w:val="en-US" w:eastAsia="en-US" w:bidi="ar-SA"/>
      </w:rPr>
    </w:lvl>
    <w:lvl w:ilvl="3" w:tplc="FFFFFFFF">
      <w:numFmt w:val="bullet"/>
      <w:lvlText w:val="•"/>
      <w:lvlJc w:val="left"/>
      <w:pPr>
        <w:ind w:left="3830" w:hanging="720"/>
      </w:pPr>
      <w:rPr>
        <w:rFonts w:hint="default"/>
        <w:lang w:val="en-US" w:eastAsia="en-US" w:bidi="ar-SA"/>
      </w:rPr>
    </w:lvl>
    <w:lvl w:ilvl="4" w:tplc="FFFFFFFF">
      <w:numFmt w:val="bullet"/>
      <w:lvlText w:val="•"/>
      <w:lvlJc w:val="left"/>
      <w:pPr>
        <w:ind w:left="4680" w:hanging="720"/>
      </w:pPr>
      <w:rPr>
        <w:rFonts w:hint="default"/>
        <w:lang w:val="en-US" w:eastAsia="en-US" w:bidi="ar-SA"/>
      </w:rPr>
    </w:lvl>
    <w:lvl w:ilvl="5" w:tplc="FFFFFFFF">
      <w:numFmt w:val="bullet"/>
      <w:lvlText w:val="•"/>
      <w:lvlJc w:val="left"/>
      <w:pPr>
        <w:ind w:left="5530" w:hanging="720"/>
      </w:pPr>
      <w:rPr>
        <w:rFonts w:hint="default"/>
        <w:lang w:val="en-US" w:eastAsia="en-US" w:bidi="ar-SA"/>
      </w:rPr>
    </w:lvl>
    <w:lvl w:ilvl="6" w:tplc="FFFFFFFF">
      <w:numFmt w:val="bullet"/>
      <w:lvlText w:val="•"/>
      <w:lvlJc w:val="left"/>
      <w:pPr>
        <w:ind w:left="6380" w:hanging="720"/>
      </w:pPr>
      <w:rPr>
        <w:rFonts w:hint="default"/>
        <w:lang w:val="en-US" w:eastAsia="en-US" w:bidi="ar-SA"/>
      </w:rPr>
    </w:lvl>
    <w:lvl w:ilvl="7" w:tplc="FFFFFFFF">
      <w:numFmt w:val="bullet"/>
      <w:lvlText w:val="•"/>
      <w:lvlJc w:val="left"/>
      <w:pPr>
        <w:ind w:left="7230" w:hanging="720"/>
      </w:pPr>
      <w:rPr>
        <w:rFonts w:hint="default"/>
        <w:lang w:val="en-US" w:eastAsia="en-US" w:bidi="ar-SA"/>
      </w:rPr>
    </w:lvl>
    <w:lvl w:ilvl="8" w:tplc="FFFFFFFF">
      <w:numFmt w:val="bullet"/>
      <w:lvlText w:val="•"/>
      <w:lvlJc w:val="left"/>
      <w:pPr>
        <w:ind w:left="8080" w:hanging="720"/>
      </w:pPr>
      <w:rPr>
        <w:rFonts w:hint="default"/>
        <w:lang w:val="en-US" w:eastAsia="en-US" w:bidi="ar-SA"/>
      </w:rPr>
    </w:lvl>
  </w:abstractNum>
  <w:abstractNum w:abstractNumId="12" w15:restartNumberingAfterBreak="0">
    <w:nsid w:val="2ED26402"/>
    <w:multiLevelType w:val="multilevel"/>
    <w:tmpl w:val="F514B6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C259C0"/>
    <w:multiLevelType w:val="hybridMultilevel"/>
    <w:tmpl w:val="D358956A"/>
    <w:lvl w:ilvl="0" w:tplc="80DE42D4">
      <w:numFmt w:val="bullet"/>
      <w:lvlText w:val=""/>
      <w:lvlJc w:val="left"/>
      <w:pPr>
        <w:ind w:left="331" w:hanging="360"/>
      </w:pPr>
      <w:rPr>
        <w:rFonts w:ascii="Symbol" w:eastAsia="Symbol" w:hAnsi="Symbol" w:cs="Symbol" w:hint="default"/>
        <w:b w:val="0"/>
        <w:bCs w:val="0"/>
        <w:i w:val="0"/>
        <w:iCs w:val="0"/>
        <w:w w:val="99"/>
        <w:sz w:val="22"/>
        <w:szCs w:val="22"/>
        <w:lang w:val="en-US" w:eastAsia="en-US" w:bidi="ar-SA"/>
      </w:rPr>
    </w:lvl>
    <w:lvl w:ilvl="1" w:tplc="337EE5FA">
      <w:numFmt w:val="bullet"/>
      <w:lvlText w:val=""/>
      <w:lvlJc w:val="left"/>
      <w:pPr>
        <w:ind w:left="1180" w:hanging="360"/>
      </w:pPr>
      <w:rPr>
        <w:rFonts w:ascii="Symbol" w:eastAsia="Symbol" w:hAnsi="Symbol" w:cs="Symbol" w:hint="default"/>
        <w:b w:val="0"/>
        <w:bCs w:val="0"/>
        <w:i w:val="0"/>
        <w:iCs w:val="0"/>
        <w:w w:val="99"/>
        <w:sz w:val="22"/>
        <w:szCs w:val="22"/>
        <w:lang w:val="en-US" w:eastAsia="en-US" w:bidi="ar-SA"/>
      </w:rPr>
    </w:lvl>
    <w:lvl w:ilvl="2" w:tplc="2DD6EFFC">
      <w:numFmt w:val="bullet"/>
      <w:lvlText w:val="•"/>
      <w:lvlJc w:val="left"/>
      <w:pPr>
        <w:ind w:left="2041" w:hanging="360"/>
      </w:pPr>
      <w:rPr>
        <w:rFonts w:hint="default"/>
        <w:lang w:val="en-US" w:eastAsia="en-US" w:bidi="ar-SA"/>
      </w:rPr>
    </w:lvl>
    <w:lvl w:ilvl="3" w:tplc="530C89E2">
      <w:numFmt w:val="bullet"/>
      <w:lvlText w:val="•"/>
      <w:lvlJc w:val="left"/>
      <w:pPr>
        <w:ind w:left="2902" w:hanging="360"/>
      </w:pPr>
      <w:rPr>
        <w:rFonts w:hint="default"/>
        <w:lang w:val="en-US" w:eastAsia="en-US" w:bidi="ar-SA"/>
      </w:rPr>
    </w:lvl>
    <w:lvl w:ilvl="4" w:tplc="146CD340">
      <w:numFmt w:val="bullet"/>
      <w:lvlText w:val="•"/>
      <w:lvlJc w:val="left"/>
      <w:pPr>
        <w:ind w:left="3763" w:hanging="360"/>
      </w:pPr>
      <w:rPr>
        <w:rFonts w:hint="default"/>
        <w:lang w:val="en-US" w:eastAsia="en-US" w:bidi="ar-SA"/>
      </w:rPr>
    </w:lvl>
    <w:lvl w:ilvl="5" w:tplc="FAA0923E">
      <w:numFmt w:val="bullet"/>
      <w:lvlText w:val="•"/>
      <w:lvlJc w:val="left"/>
      <w:pPr>
        <w:ind w:left="4624" w:hanging="360"/>
      </w:pPr>
      <w:rPr>
        <w:rFonts w:hint="default"/>
        <w:lang w:val="en-US" w:eastAsia="en-US" w:bidi="ar-SA"/>
      </w:rPr>
    </w:lvl>
    <w:lvl w:ilvl="6" w:tplc="02CE14E6">
      <w:numFmt w:val="bullet"/>
      <w:lvlText w:val="•"/>
      <w:lvlJc w:val="left"/>
      <w:pPr>
        <w:ind w:left="5486" w:hanging="360"/>
      </w:pPr>
      <w:rPr>
        <w:rFonts w:hint="default"/>
        <w:lang w:val="en-US" w:eastAsia="en-US" w:bidi="ar-SA"/>
      </w:rPr>
    </w:lvl>
    <w:lvl w:ilvl="7" w:tplc="1C16D416">
      <w:numFmt w:val="bullet"/>
      <w:lvlText w:val="•"/>
      <w:lvlJc w:val="left"/>
      <w:pPr>
        <w:ind w:left="6347" w:hanging="360"/>
      </w:pPr>
      <w:rPr>
        <w:rFonts w:hint="default"/>
        <w:lang w:val="en-US" w:eastAsia="en-US" w:bidi="ar-SA"/>
      </w:rPr>
    </w:lvl>
    <w:lvl w:ilvl="8" w:tplc="E00A7686">
      <w:numFmt w:val="bullet"/>
      <w:lvlText w:val="•"/>
      <w:lvlJc w:val="left"/>
      <w:pPr>
        <w:ind w:left="7208" w:hanging="360"/>
      </w:pPr>
      <w:rPr>
        <w:rFonts w:hint="default"/>
        <w:lang w:val="en-US" w:eastAsia="en-US" w:bidi="ar-SA"/>
      </w:rPr>
    </w:lvl>
  </w:abstractNum>
  <w:abstractNum w:abstractNumId="14" w15:restartNumberingAfterBreak="0">
    <w:nsid w:val="32B91805"/>
    <w:multiLevelType w:val="hybridMultilevel"/>
    <w:tmpl w:val="4636E74C"/>
    <w:lvl w:ilvl="0" w:tplc="F1A29E72">
      <w:start w:val="1"/>
      <w:numFmt w:val="upperRoman"/>
      <w:lvlText w:val="%1."/>
      <w:lvlJc w:val="left"/>
      <w:pPr>
        <w:ind w:left="820" w:hanging="721"/>
      </w:pPr>
      <w:rPr>
        <w:rFonts w:ascii="Times New Roman" w:eastAsia="Times New Roman" w:hAnsi="Times New Roman" w:cs="Times New Roman" w:hint="default"/>
        <w:b/>
        <w:bCs/>
        <w:i w:val="0"/>
        <w:iCs w:val="0"/>
        <w:spacing w:val="-1"/>
        <w:w w:val="99"/>
        <w:sz w:val="22"/>
        <w:szCs w:val="22"/>
        <w:lang w:val="en-US" w:eastAsia="en-US" w:bidi="ar-SA"/>
      </w:rPr>
    </w:lvl>
    <w:lvl w:ilvl="1" w:tplc="FA169FDC">
      <w:start w:val="1"/>
      <w:numFmt w:val="upperLetter"/>
      <w:lvlText w:val="%2."/>
      <w:lvlJc w:val="left"/>
      <w:pPr>
        <w:ind w:left="4500" w:hanging="720"/>
      </w:pPr>
      <w:rPr>
        <w:rFonts w:ascii="Times New Roman" w:eastAsia="Times New Roman" w:hAnsi="Times New Roman" w:cs="Times New Roman" w:hint="default"/>
        <w:b/>
        <w:bCs/>
        <w:i w:val="0"/>
        <w:iCs w:val="0"/>
        <w:spacing w:val="-1"/>
        <w:w w:val="99"/>
        <w:sz w:val="22"/>
        <w:szCs w:val="22"/>
        <w:lang w:val="en-US" w:eastAsia="en-US" w:bidi="ar-SA"/>
      </w:rPr>
    </w:lvl>
    <w:lvl w:ilvl="2" w:tplc="21F65832">
      <w:start w:val="1"/>
      <w:numFmt w:val="decimal"/>
      <w:lvlText w:val="%3."/>
      <w:lvlJc w:val="left"/>
      <w:pPr>
        <w:ind w:left="2260" w:hanging="720"/>
      </w:pPr>
      <w:rPr>
        <w:rFonts w:ascii="Times New Roman" w:eastAsia="Times New Roman" w:hAnsi="Times New Roman" w:cs="Times New Roman" w:hint="default"/>
        <w:b/>
        <w:bCs/>
        <w:i w:val="0"/>
        <w:iCs w:val="0"/>
        <w:w w:val="99"/>
        <w:sz w:val="22"/>
        <w:szCs w:val="22"/>
        <w:lang w:val="en-US" w:eastAsia="en-US" w:bidi="ar-SA"/>
      </w:rPr>
    </w:lvl>
    <w:lvl w:ilvl="3" w:tplc="C83C3B74">
      <w:start w:val="1"/>
      <w:numFmt w:val="lowerLetter"/>
      <w:lvlText w:val="%4."/>
      <w:lvlJc w:val="left"/>
      <w:pPr>
        <w:ind w:left="2980" w:hanging="720"/>
      </w:pPr>
      <w:rPr>
        <w:rFonts w:ascii="Times New Roman" w:eastAsia="Times New Roman" w:hAnsi="Times New Roman" w:cs="Times New Roman" w:hint="default"/>
        <w:b/>
        <w:bCs/>
        <w:i w:val="0"/>
        <w:iCs w:val="0"/>
        <w:w w:val="99"/>
        <w:sz w:val="22"/>
        <w:szCs w:val="22"/>
        <w:lang w:val="en-US" w:eastAsia="en-US" w:bidi="ar-SA"/>
      </w:rPr>
    </w:lvl>
    <w:lvl w:ilvl="4" w:tplc="5F76CFE2">
      <w:numFmt w:val="bullet"/>
      <w:lvlText w:val="•"/>
      <w:lvlJc w:val="left"/>
      <w:pPr>
        <w:ind w:left="3951" w:hanging="720"/>
      </w:pPr>
      <w:rPr>
        <w:rFonts w:hint="default"/>
        <w:lang w:val="en-US" w:eastAsia="en-US" w:bidi="ar-SA"/>
      </w:rPr>
    </w:lvl>
    <w:lvl w:ilvl="5" w:tplc="8758B0D6">
      <w:numFmt w:val="bullet"/>
      <w:lvlText w:val="•"/>
      <w:lvlJc w:val="left"/>
      <w:pPr>
        <w:ind w:left="4922" w:hanging="720"/>
      </w:pPr>
      <w:rPr>
        <w:rFonts w:hint="default"/>
        <w:lang w:val="en-US" w:eastAsia="en-US" w:bidi="ar-SA"/>
      </w:rPr>
    </w:lvl>
    <w:lvl w:ilvl="6" w:tplc="8514E0A0">
      <w:numFmt w:val="bullet"/>
      <w:lvlText w:val="•"/>
      <w:lvlJc w:val="left"/>
      <w:pPr>
        <w:ind w:left="5894" w:hanging="720"/>
      </w:pPr>
      <w:rPr>
        <w:rFonts w:hint="default"/>
        <w:lang w:val="en-US" w:eastAsia="en-US" w:bidi="ar-SA"/>
      </w:rPr>
    </w:lvl>
    <w:lvl w:ilvl="7" w:tplc="FB103720">
      <w:numFmt w:val="bullet"/>
      <w:lvlText w:val="•"/>
      <w:lvlJc w:val="left"/>
      <w:pPr>
        <w:ind w:left="6865" w:hanging="720"/>
      </w:pPr>
      <w:rPr>
        <w:rFonts w:hint="default"/>
        <w:lang w:val="en-US" w:eastAsia="en-US" w:bidi="ar-SA"/>
      </w:rPr>
    </w:lvl>
    <w:lvl w:ilvl="8" w:tplc="4510D154">
      <w:numFmt w:val="bullet"/>
      <w:lvlText w:val="•"/>
      <w:lvlJc w:val="left"/>
      <w:pPr>
        <w:ind w:left="7837" w:hanging="720"/>
      </w:pPr>
      <w:rPr>
        <w:rFonts w:hint="default"/>
        <w:lang w:val="en-US" w:eastAsia="en-US" w:bidi="ar-SA"/>
      </w:rPr>
    </w:lvl>
  </w:abstractNum>
  <w:abstractNum w:abstractNumId="15" w15:restartNumberingAfterBreak="0">
    <w:nsid w:val="361A38B7"/>
    <w:multiLevelType w:val="hybridMultilevel"/>
    <w:tmpl w:val="C55E3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D8092D"/>
    <w:multiLevelType w:val="hybridMultilevel"/>
    <w:tmpl w:val="4FE2EFA8"/>
    <w:lvl w:ilvl="0" w:tplc="FFFFFFFF">
      <w:start w:val="1"/>
      <w:numFmt w:val="decimal"/>
      <w:lvlText w:val="%1."/>
      <w:lvlJc w:val="left"/>
      <w:pPr>
        <w:ind w:left="2260" w:hanging="720"/>
      </w:pPr>
      <w:rPr>
        <w:rFonts w:ascii="Times New Roman" w:eastAsia="Times New Roman" w:hAnsi="Times New Roman" w:cs="Times New Roman" w:hint="default"/>
        <w:b/>
        <w:bCs/>
        <w:i w:val="0"/>
        <w:iCs w:val="0"/>
        <w:w w:val="99"/>
        <w:sz w:val="22"/>
        <w:szCs w:val="22"/>
        <w:lang w:val="en-US" w:eastAsia="en-US" w:bidi="ar-SA"/>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44D0698"/>
    <w:multiLevelType w:val="hybridMultilevel"/>
    <w:tmpl w:val="3104E20A"/>
    <w:lvl w:ilvl="0" w:tplc="21FC1AC2">
      <w:start w:val="1"/>
      <w:numFmt w:val="upperRoman"/>
      <w:pStyle w:val="Heading1"/>
      <w:lvlText w:val="%1."/>
      <w:lvlJc w:val="right"/>
      <w:pPr>
        <w:ind w:left="2446" w:hanging="180"/>
      </w:pPr>
    </w:lvl>
    <w:lvl w:ilvl="1" w:tplc="04090019" w:tentative="1">
      <w:start w:val="1"/>
      <w:numFmt w:val="lowerLetter"/>
      <w:lvlText w:val="%2."/>
      <w:lvlJc w:val="left"/>
      <w:pPr>
        <w:ind w:left="3166" w:hanging="360"/>
      </w:pPr>
    </w:lvl>
    <w:lvl w:ilvl="2" w:tplc="0409001B" w:tentative="1">
      <w:start w:val="1"/>
      <w:numFmt w:val="lowerRoman"/>
      <w:lvlText w:val="%3."/>
      <w:lvlJc w:val="right"/>
      <w:pPr>
        <w:ind w:left="3886" w:hanging="180"/>
      </w:pPr>
    </w:lvl>
    <w:lvl w:ilvl="3" w:tplc="0409000F" w:tentative="1">
      <w:start w:val="1"/>
      <w:numFmt w:val="decimal"/>
      <w:lvlText w:val="%4."/>
      <w:lvlJc w:val="left"/>
      <w:pPr>
        <w:ind w:left="4606" w:hanging="360"/>
      </w:pPr>
    </w:lvl>
    <w:lvl w:ilvl="4" w:tplc="04090019" w:tentative="1">
      <w:start w:val="1"/>
      <w:numFmt w:val="lowerLetter"/>
      <w:lvlText w:val="%5."/>
      <w:lvlJc w:val="left"/>
      <w:pPr>
        <w:ind w:left="5326" w:hanging="360"/>
      </w:pPr>
    </w:lvl>
    <w:lvl w:ilvl="5" w:tplc="0409001B" w:tentative="1">
      <w:start w:val="1"/>
      <w:numFmt w:val="lowerRoman"/>
      <w:lvlText w:val="%6."/>
      <w:lvlJc w:val="right"/>
      <w:pPr>
        <w:ind w:left="6046" w:hanging="180"/>
      </w:pPr>
    </w:lvl>
    <w:lvl w:ilvl="6" w:tplc="0409000F" w:tentative="1">
      <w:start w:val="1"/>
      <w:numFmt w:val="decimal"/>
      <w:lvlText w:val="%7."/>
      <w:lvlJc w:val="left"/>
      <w:pPr>
        <w:ind w:left="6766" w:hanging="360"/>
      </w:pPr>
    </w:lvl>
    <w:lvl w:ilvl="7" w:tplc="04090019" w:tentative="1">
      <w:start w:val="1"/>
      <w:numFmt w:val="lowerLetter"/>
      <w:lvlText w:val="%8."/>
      <w:lvlJc w:val="left"/>
      <w:pPr>
        <w:ind w:left="7486" w:hanging="360"/>
      </w:pPr>
    </w:lvl>
    <w:lvl w:ilvl="8" w:tplc="0409001B" w:tentative="1">
      <w:start w:val="1"/>
      <w:numFmt w:val="lowerRoman"/>
      <w:lvlText w:val="%9."/>
      <w:lvlJc w:val="right"/>
      <w:pPr>
        <w:ind w:left="8206" w:hanging="180"/>
      </w:pPr>
    </w:lvl>
  </w:abstractNum>
  <w:abstractNum w:abstractNumId="18" w15:restartNumberingAfterBreak="0">
    <w:nsid w:val="45FB78B9"/>
    <w:multiLevelType w:val="multilevel"/>
    <w:tmpl w:val="6A7C928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15:restartNumberingAfterBreak="0">
    <w:nsid w:val="474562AB"/>
    <w:multiLevelType w:val="hybridMultilevel"/>
    <w:tmpl w:val="26EC7A2E"/>
    <w:lvl w:ilvl="0" w:tplc="DD7EB74C">
      <w:start w:val="1"/>
      <w:numFmt w:val="upperRoman"/>
      <w:lvlText w:val="%1."/>
      <w:lvlJc w:val="left"/>
      <w:pPr>
        <w:ind w:left="460" w:hanging="360"/>
      </w:pPr>
      <w:rPr>
        <w:rFonts w:ascii="Times New Roman" w:eastAsia="Times New Roman" w:hAnsi="Times New Roman" w:cs="Times New Roman" w:hint="default"/>
        <w:b w:val="0"/>
        <w:bCs w:val="0"/>
        <w:i w:val="0"/>
        <w:iCs w:val="0"/>
        <w:w w:val="99"/>
        <w:sz w:val="22"/>
        <w:szCs w:val="22"/>
        <w:lang w:val="en-US" w:eastAsia="en-US" w:bidi="ar-SA"/>
      </w:rPr>
    </w:lvl>
    <w:lvl w:ilvl="1" w:tplc="88CC801C">
      <w:start w:val="1"/>
      <w:numFmt w:val="upperLetter"/>
      <w:lvlText w:val="%2."/>
      <w:lvlJc w:val="left"/>
      <w:pPr>
        <w:ind w:left="820" w:hanging="361"/>
      </w:pPr>
      <w:rPr>
        <w:rFonts w:ascii="Times New Roman" w:eastAsia="Times New Roman" w:hAnsi="Times New Roman" w:cs="Times New Roman" w:hint="default"/>
        <w:b w:val="0"/>
        <w:bCs w:val="0"/>
        <w:i w:val="0"/>
        <w:iCs w:val="0"/>
        <w:spacing w:val="-1"/>
        <w:w w:val="99"/>
        <w:sz w:val="22"/>
        <w:szCs w:val="22"/>
        <w:lang w:val="en-US" w:eastAsia="en-US" w:bidi="ar-SA"/>
      </w:rPr>
    </w:lvl>
    <w:lvl w:ilvl="2" w:tplc="21E492AC">
      <w:start w:val="1"/>
      <w:numFmt w:val="decimal"/>
      <w:lvlText w:val="%3."/>
      <w:lvlJc w:val="left"/>
      <w:pPr>
        <w:ind w:left="1180" w:hanging="360"/>
      </w:pPr>
      <w:rPr>
        <w:rFonts w:ascii="Times New Roman" w:eastAsia="Times New Roman" w:hAnsi="Times New Roman" w:cs="Times New Roman" w:hint="default"/>
        <w:b w:val="0"/>
        <w:bCs w:val="0"/>
        <w:i w:val="0"/>
        <w:iCs w:val="0"/>
        <w:w w:val="99"/>
        <w:sz w:val="22"/>
        <w:szCs w:val="22"/>
        <w:lang w:val="en-US" w:eastAsia="en-US" w:bidi="ar-SA"/>
      </w:rPr>
    </w:lvl>
    <w:lvl w:ilvl="3" w:tplc="76A87C62">
      <w:numFmt w:val="bullet"/>
      <w:lvlText w:val="•"/>
      <w:lvlJc w:val="left"/>
      <w:pPr>
        <w:ind w:left="2255" w:hanging="360"/>
      </w:pPr>
      <w:rPr>
        <w:rFonts w:hint="default"/>
        <w:lang w:val="en-US" w:eastAsia="en-US" w:bidi="ar-SA"/>
      </w:rPr>
    </w:lvl>
    <w:lvl w:ilvl="4" w:tplc="34FE65E0">
      <w:numFmt w:val="bullet"/>
      <w:lvlText w:val="•"/>
      <w:lvlJc w:val="left"/>
      <w:pPr>
        <w:ind w:left="3330" w:hanging="360"/>
      </w:pPr>
      <w:rPr>
        <w:rFonts w:hint="default"/>
        <w:lang w:val="en-US" w:eastAsia="en-US" w:bidi="ar-SA"/>
      </w:rPr>
    </w:lvl>
    <w:lvl w:ilvl="5" w:tplc="C73CCE5A">
      <w:numFmt w:val="bullet"/>
      <w:lvlText w:val="•"/>
      <w:lvlJc w:val="left"/>
      <w:pPr>
        <w:ind w:left="4405" w:hanging="360"/>
      </w:pPr>
      <w:rPr>
        <w:rFonts w:hint="default"/>
        <w:lang w:val="en-US" w:eastAsia="en-US" w:bidi="ar-SA"/>
      </w:rPr>
    </w:lvl>
    <w:lvl w:ilvl="6" w:tplc="00FC2C6A">
      <w:numFmt w:val="bullet"/>
      <w:lvlText w:val="•"/>
      <w:lvlJc w:val="left"/>
      <w:pPr>
        <w:ind w:left="5480" w:hanging="360"/>
      </w:pPr>
      <w:rPr>
        <w:rFonts w:hint="default"/>
        <w:lang w:val="en-US" w:eastAsia="en-US" w:bidi="ar-SA"/>
      </w:rPr>
    </w:lvl>
    <w:lvl w:ilvl="7" w:tplc="62002E68">
      <w:numFmt w:val="bullet"/>
      <w:lvlText w:val="•"/>
      <w:lvlJc w:val="left"/>
      <w:pPr>
        <w:ind w:left="6555" w:hanging="360"/>
      </w:pPr>
      <w:rPr>
        <w:rFonts w:hint="default"/>
        <w:lang w:val="en-US" w:eastAsia="en-US" w:bidi="ar-SA"/>
      </w:rPr>
    </w:lvl>
    <w:lvl w:ilvl="8" w:tplc="C14C3416">
      <w:numFmt w:val="bullet"/>
      <w:lvlText w:val="•"/>
      <w:lvlJc w:val="left"/>
      <w:pPr>
        <w:ind w:left="7630" w:hanging="360"/>
      </w:pPr>
      <w:rPr>
        <w:rFonts w:hint="default"/>
        <w:lang w:val="en-US" w:eastAsia="en-US" w:bidi="ar-SA"/>
      </w:rPr>
    </w:lvl>
  </w:abstractNum>
  <w:abstractNum w:abstractNumId="20" w15:restartNumberingAfterBreak="0">
    <w:nsid w:val="48A645FB"/>
    <w:multiLevelType w:val="hybridMultilevel"/>
    <w:tmpl w:val="5C467028"/>
    <w:lvl w:ilvl="0" w:tplc="04090001">
      <w:start w:val="1"/>
      <w:numFmt w:val="bullet"/>
      <w:lvlText w:val=""/>
      <w:lvlJc w:val="left"/>
      <w:pPr>
        <w:ind w:left="1180" w:hanging="360"/>
      </w:pPr>
      <w:rPr>
        <w:rFonts w:ascii="Symbol" w:hAnsi="Symbol" w:hint="default"/>
      </w:rPr>
    </w:lvl>
    <w:lvl w:ilvl="1" w:tplc="FFFFFFFF">
      <w:start w:val="1"/>
      <w:numFmt w:val="lowerLetter"/>
      <w:lvlText w:val="%2."/>
      <w:lvlJc w:val="left"/>
      <w:pPr>
        <w:ind w:left="1900" w:hanging="360"/>
      </w:pPr>
    </w:lvl>
    <w:lvl w:ilvl="2" w:tplc="FFFFFFFF" w:tentative="1">
      <w:start w:val="1"/>
      <w:numFmt w:val="lowerRoman"/>
      <w:lvlText w:val="%3."/>
      <w:lvlJc w:val="right"/>
      <w:pPr>
        <w:ind w:left="2620" w:hanging="180"/>
      </w:pPr>
    </w:lvl>
    <w:lvl w:ilvl="3" w:tplc="FFFFFFFF" w:tentative="1">
      <w:start w:val="1"/>
      <w:numFmt w:val="decimal"/>
      <w:lvlText w:val="%4."/>
      <w:lvlJc w:val="left"/>
      <w:pPr>
        <w:ind w:left="3340" w:hanging="360"/>
      </w:pPr>
    </w:lvl>
    <w:lvl w:ilvl="4" w:tplc="FFFFFFFF" w:tentative="1">
      <w:start w:val="1"/>
      <w:numFmt w:val="lowerLetter"/>
      <w:lvlText w:val="%5."/>
      <w:lvlJc w:val="left"/>
      <w:pPr>
        <w:ind w:left="4060" w:hanging="360"/>
      </w:pPr>
    </w:lvl>
    <w:lvl w:ilvl="5" w:tplc="FFFFFFFF" w:tentative="1">
      <w:start w:val="1"/>
      <w:numFmt w:val="lowerRoman"/>
      <w:lvlText w:val="%6."/>
      <w:lvlJc w:val="right"/>
      <w:pPr>
        <w:ind w:left="4780" w:hanging="180"/>
      </w:pPr>
    </w:lvl>
    <w:lvl w:ilvl="6" w:tplc="FFFFFFFF" w:tentative="1">
      <w:start w:val="1"/>
      <w:numFmt w:val="decimal"/>
      <w:lvlText w:val="%7."/>
      <w:lvlJc w:val="left"/>
      <w:pPr>
        <w:ind w:left="5500" w:hanging="360"/>
      </w:pPr>
    </w:lvl>
    <w:lvl w:ilvl="7" w:tplc="FFFFFFFF" w:tentative="1">
      <w:start w:val="1"/>
      <w:numFmt w:val="lowerLetter"/>
      <w:lvlText w:val="%8."/>
      <w:lvlJc w:val="left"/>
      <w:pPr>
        <w:ind w:left="6220" w:hanging="360"/>
      </w:pPr>
    </w:lvl>
    <w:lvl w:ilvl="8" w:tplc="FFFFFFFF" w:tentative="1">
      <w:start w:val="1"/>
      <w:numFmt w:val="lowerRoman"/>
      <w:lvlText w:val="%9."/>
      <w:lvlJc w:val="right"/>
      <w:pPr>
        <w:ind w:left="6940" w:hanging="180"/>
      </w:pPr>
    </w:lvl>
  </w:abstractNum>
  <w:abstractNum w:abstractNumId="21" w15:restartNumberingAfterBreak="0">
    <w:nsid w:val="4C54690E"/>
    <w:multiLevelType w:val="hybridMultilevel"/>
    <w:tmpl w:val="21CAB3F2"/>
    <w:lvl w:ilvl="0" w:tplc="F7621F42">
      <w:numFmt w:val="bullet"/>
      <w:lvlText w:val=""/>
      <w:lvlJc w:val="left"/>
      <w:pPr>
        <w:ind w:left="1180" w:hanging="360"/>
      </w:pPr>
      <w:rPr>
        <w:rFonts w:ascii="Symbol" w:eastAsia="Symbol" w:hAnsi="Symbol" w:cs="Symbol" w:hint="default"/>
        <w:b w:val="0"/>
        <w:bCs w:val="0"/>
        <w:i w:val="0"/>
        <w:iCs w:val="0"/>
        <w:w w:val="99"/>
        <w:sz w:val="22"/>
        <w:szCs w:val="22"/>
        <w:lang w:val="en-US" w:eastAsia="en-US" w:bidi="ar-SA"/>
      </w:rPr>
    </w:lvl>
    <w:lvl w:ilvl="1" w:tplc="B060EFDC">
      <w:numFmt w:val="bullet"/>
      <w:lvlText w:val="•"/>
      <w:lvlJc w:val="left"/>
      <w:pPr>
        <w:ind w:left="2040" w:hanging="360"/>
      </w:pPr>
      <w:rPr>
        <w:rFonts w:hint="default"/>
        <w:lang w:val="en-US" w:eastAsia="en-US" w:bidi="ar-SA"/>
      </w:rPr>
    </w:lvl>
    <w:lvl w:ilvl="2" w:tplc="5FDE4850">
      <w:numFmt w:val="bullet"/>
      <w:lvlText w:val="•"/>
      <w:lvlJc w:val="left"/>
      <w:pPr>
        <w:ind w:left="2900" w:hanging="360"/>
      </w:pPr>
      <w:rPr>
        <w:rFonts w:hint="default"/>
        <w:lang w:val="en-US" w:eastAsia="en-US" w:bidi="ar-SA"/>
      </w:rPr>
    </w:lvl>
    <w:lvl w:ilvl="3" w:tplc="896464A4">
      <w:numFmt w:val="bullet"/>
      <w:lvlText w:val="•"/>
      <w:lvlJc w:val="left"/>
      <w:pPr>
        <w:ind w:left="3760" w:hanging="360"/>
      </w:pPr>
      <w:rPr>
        <w:rFonts w:hint="default"/>
        <w:lang w:val="en-US" w:eastAsia="en-US" w:bidi="ar-SA"/>
      </w:rPr>
    </w:lvl>
    <w:lvl w:ilvl="4" w:tplc="5C56D330">
      <w:numFmt w:val="bullet"/>
      <w:lvlText w:val="•"/>
      <w:lvlJc w:val="left"/>
      <w:pPr>
        <w:ind w:left="4620" w:hanging="360"/>
      </w:pPr>
      <w:rPr>
        <w:rFonts w:hint="default"/>
        <w:lang w:val="en-US" w:eastAsia="en-US" w:bidi="ar-SA"/>
      </w:rPr>
    </w:lvl>
    <w:lvl w:ilvl="5" w:tplc="81EE2CC6">
      <w:numFmt w:val="bullet"/>
      <w:lvlText w:val="•"/>
      <w:lvlJc w:val="left"/>
      <w:pPr>
        <w:ind w:left="5480" w:hanging="360"/>
      </w:pPr>
      <w:rPr>
        <w:rFonts w:hint="default"/>
        <w:lang w:val="en-US" w:eastAsia="en-US" w:bidi="ar-SA"/>
      </w:rPr>
    </w:lvl>
    <w:lvl w:ilvl="6" w:tplc="2D7406F2">
      <w:numFmt w:val="bullet"/>
      <w:lvlText w:val="•"/>
      <w:lvlJc w:val="left"/>
      <w:pPr>
        <w:ind w:left="6340" w:hanging="360"/>
      </w:pPr>
      <w:rPr>
        <w:rFonts w:hint="default"/>
        <w:lang w:val="en-US" w:eastAsia="en-US" w:bidi="ar-SA"/>
      </w:rPr>
    </w:lvl>
    <w:lvl w:ilvl="7" w:tplc="BD96AB1C">
      <w:numFmt w:val="bullet"/>
      <w:lvlText w:val="•"/>
      <w:lvlJc w:val="left"/>
      <w:pPr>
        <w:ind w:left="7200" w:hanging="360"/>
      </w:pPr>
      <w:rPr>
        <w:rFonts w:hint="default"/>
        <w:lang w:val="en-US" w:eastAsia="en-US" w:bidi="ar-SA"/>
      </w:rPr>
    </w:lvl>
    <w:lvl w:ilvl="8" w:tplc="BB84324A">
      <w:numFmt w:val="bullet"/>
      <w:lvlText w:val="•"/>
      <w:lvlJc w:val="left"/>
      <w:pPr>
        <w:ind w:left="8060" w:hanging="360"/>
      </w:pPr>
      <w:rPr>
        <w:rFonts w:hint="default"/>
        <w:lang w:val="en-US" w:eastAsia="en-US" w:bidi="ar-SA"/>
      </w:rPr>
    </w:lvl>
  </w:abstractNum>
  <w:abstractNum w:abstractNumId="22" w15:restartNumberingAfterBreak="0">
    <w:nsid w:val="4E955DB0"/>
    <w:multiLevelType w:val="multilevel"/>
    <w:tmpl w:val="2C4A69E2"/>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F80382E"/>
    <w:multiLevelType w:val="hybridMultilevel"/>
    <w:tmpl w:val="1C8EE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0D4E4E"/>
    <w:multiLevelType w:val="hybridMultilevel"/>
    <w:tmpl w:val="8B862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425A4F"/>
    <w:multiLevelType w:val="hybridMultilevel"/>
    <w:tmpl w:val="AE72CD2A"/>
    <w:lvl w:ilvl="0" w:tplc="3B3E301C">
      <w:numFmt w:val="bullet"/>
      <w:lvlText w:val=""/>
      <w:lvlJc w:val="left"/>
      <w:pPr>
        <w:ind w:left="1180" w:hanging="360"/>
      </w:pPr>
      <w:rPr>
        <w:rFonts w:ascii="Symbol" w:eastAsia="Symbol" w:hAnsi="Symbol" w:cs="Symbol" w:hint="default"/>
        <w:b w:val="0"/>
        <w:bCs w:val="0"/>
        <w:i w:val="0"/>
        <w:iCs w:val="0"/>
        <w:w w:val="99"/>
        <w:sz w:val="22"/>
        <w:szCs w:val="22"/>
        <w:lang w:val="en-US" w:eastAsia="en-US" w:bidi="ar-SA"/>
      </w:rPr>
    </w:lvl>
    <w:lvl w:ilvl="1" w:tplc="1D04A184">
      <w:numFmt w:val="bullet"/>
      <w:lvlText w:val="•"/>
      <w:lvlJc w:val="left"/>
      <w:pPr>
        <w:ind w:left="2040" w:hanging="360"/>
      </w:pPr>
      <w:rPr>
        <w:rFonts w:hint="default"/>
        <w:lang w:val="en-US" w:eastAsia="en-US" w:bidi="ar-SA"/>
      </w:rPr>
    </w:lvl>
    <w:lvl w:ilvl="2" w:tplc="B97A0AC0">
      <w:numFmt w:val="bullet"/>
      <w:lvlText w:val="•"/>
      <w:lvlJc w:val="left"/>
      <w:pPr>
        <w:ind w:left="2900" w:hanging="360"/>
      </w:pPr>
      <w:rPr>
        <w:rFonts w:hint="default"/>
        <w:lang w:val="en-US" w:eastAsia="en-US" w:bidi="ar-SA"/>
      </w:rPr>
    </w:lvl>
    <w:lvl w:ilvl="3" w:tplc="C9A2DE2E">
      <w:numFmt w:val="bullet"/>
      <w:lvlText w:val="•"/>
      <w:lvlJc w:val="left"/>
      <w:pPr>
        <w:ind w:left="3760" w:hanging="360"/>
      </w:pPr>
      <w:rPr>
        <w:rFonts w:hint="default"/>
        <w:lang w:val="en-US" w:eastAsia="en-US" w:bidi="ar-SA"/>
      </w:rPr>
    </w:lvl>
    <w:lvl w:ilvl="4" w:tplc="2EEEAA94">
      <w:numFmt w:val="bullet"/>
      <w:lvlText w:val="•"/>
      <w:lvlJc w:val="left"/>
      <w:pPr>
        <w:ind w:left="4620" w:hanging="360"/>
      </w:pPr>
      <w:rPr>
        <w:rFonts w:hint="default"/>
        <w:lang w:val="en-US" w:eastAsia="en-US" w:bidi="ar-SA"/>
      </w:rPr>
    </w:lvl>
    <w:lvl w:ilvl="5" w:tplc="900CB060">
      <w:numFmt w:val="bullet"/>
      <w:lvlText w:val="•"/>
      <w:lvlJc w:val="left"/>
      <w:pPr>
        <w:ind w:left="5480" w:hanging="360"/>
      </w:pPr>
      <w:rPr>
        <w:rFonts w:hint="default"/>
        <w:lang w:val="en-US" w:eastAsia="en-US" w:bidi="ar-SA"/>
      </w:rPr>
    </w:lvl>
    <w:lvl w:ilvl="6" w:tplc="DF1CCA0C">
      <w:numFmt w:val="bullet"/>
      <w:lvlText w:val="•"/>
      <w:lvlJc w:val="left"/>
      <w:pPr>
        <w:ind w:left="6340" w:hanging="360"/>
      </w:pPr>
      <w:rPr>
        <w:rFonts w:hint="default"/>
        <w:lang w:val="en-US" w:eastAsia="en-US" w:bidi="ar-SA"/>
      </w:rPr>
    </w:lvl>
    <w:lvl w:ilvl="7" w:tplc="EB48AE5A">
      <w:numFmt w:val="bullet"/>
      <w:lvlText w:val="•"/>
      <w:lvlJc w:val="left"/>
      <w:pPr>
        <w:ind w:left="7200" w:hanging="360"/>
      </w:pPr>
      <w:rPr>
        <w:rFonts w:hint="default"/>
        <w:lang w:val="en-US" w:eastAsia="en-US" w:bidi="ar-SA"/>
      </w:rPr>
    </w:lvl>
    <w:lvl w:ilvl="8" w:tplc="4F027FAA">
      <w:numFmt w:val="bullet"/>
      <w:lvlText w:val="•"/>
      <w:lvlJc w:val="left"/>
      <w:pPr>
        <w:ind w:left="8060" w:hanging="360"/>
      </w:pPr>
      <w:rPr>
        <w:rFonts w:hint="default"/>
        <w:lang w:val="en-US" w:eastAsia="en-US" w:bidi="ar-SA"/>
      </w:rPr>
    </w:lvl>
  </w:abstractNum>
  <w:abstractNum w:abstractNumId="26" w15:restartNumberingAfterBreak="0">
    <w:nsid w:val="5DFF37B5"/>
    <w:multiLevelType w:val="hybridMultilevel"/>
    <w:tmpl w:val="9530B91E"/>
    <w:lvl w:ilvl="0" w:tplc="21F65832">
      <w:start w:val="1"/>
      <w:numFmt w:val="decimal"/>
      <w:lvlText w:val="%1."/>
      <w:lvlJc w:val="left"/>
      <w:pPr>
        <w:ind w:left="2260" w:hanging="720"/>
      </w:pPr>
      <w:rPr>
        <w:rFonts w:ascii="Times New Roman" w:eastAsia="Times New Roman" w:hAnsi="Times New Roman" w:cs="Times New Roman" w:hint="default"/>
        <w:b/>
        <w:bCs/>
        <w:i w:val="0"/>
        <w:iCs w:val="0"/>
        <w:w w:val="99"/>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0B6A53"/>
    <w:multiLevelType w:val="hybridMultilevel"/>
    <w:tmpl w:val="D77AECAA"/>
    <w:lvl w:ilvl="0" w:tplc="FFFFFFFF">
      <w:start w:val="1"/>
      <w:numFmt w:val="upperLetter"/>
      <w:lvlText w:val="%1."/>
      <w:lvlJc w:val="left"/>
      <w:pPr>
        <w:ind w:left="4500" w:hanging="720"/>
      </w:pPr>
      <w:rPr>
        <w:rFonts w:ascii="Times New Roman" w:eastAsia="Times New Roman" w:hAnsi="Times New Roman" w:cs="Times New Roman" w:hint="default"/>
        <w:b/>
        <w:bCs/>
        <w:i w:val="0"/>
        <w:iCs w:val="0"/>
        <w:spacing w:val="-1"/>
        <w:w w:val="99"/>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1444016"/>
    <w:multiLevelType w:val="hybridMultilevel"/>
    <w:tmpl w:val="BCDA8552"/>
    <w:lvl w:ilvl="0" w:tplc="11CC3774">
      <w:start w:val="2"/>
      <w:numFmt w:val="decimal"/>
      <w:lvlText w:val="%1."/>
      <w:lvlJc w:val="left"/>
      <w:pPr>
        <w:ind w:left="1180" w:hanging="360"/>
      </w:pPr>
      <w:rPr>
        <w:rFonts w:ascii="Times New Roman" w:eastAsia="Times New Roman" w:hAnsi="Times New Roman" w:cs="Times New Roman" w:hint="default"/>
        <w:b w:val="0"/>
        <w:bCs w:val="0"/>
        <w:i w:val="0"/>
        <w:iCs w:val="0"/>
        <w:w w:val="99"/>
        <w:sz w:val="22"/>
        <w:szCs w:val="22"/>
        <w:lang w:val="en-US" w:eastAsia="en-US" w:bidi="ar-SA"/>
      </w:rPr>
    </w:lvl>
    <w:lvl w:ilvl="1" w:tplc="C74C2FB4">
      <w:numFmt w:val="bullet"/>
      <w:lvlText w:val="•"/>
      <w:lvlJc w:val="left"/>
      <w:pPr>
        <w:ind w:left="2040" w:hanging="360"/>
      </w:pPr>
      <w:rPr>
        <w:rFonts w:hint="default"/>
        <w:lang w:val="en-US" w:eastAsia="en-US" w:bidi="ar-SA"/>
      </w:rPr>
    </w:lvl>
    <w:lvl w:ilvl="2" w:tplc="686441DE">
      <w:numFmt w:val="bullet"/>
      <w:lvlText w:val="•"/>
      <w:lvlJc w:val="left"/>
      <w:pPr>
        <w:ind w:left="2900" w:hanging="360"/>
      </w:pPr>
      <w:rPr>
        <w:rFonts w:hint="default"/>
        <w:lang w:val="en-US" w:eastAsia="en-US" w:bidi="ar-SA"/>
      </w:rPr>
    </w:lvl>
    <w:lvl w:ilvl="3" w:tplc="573CF026">
      <w:numFmt w:val="bullet"/>
      <w:lvlText w:val="•"/>
      <w:lvlJc w:val="left"/>
      <w:pPr>
        <w:ind w:left="3760" w:hanging="360"/>
      </w:pPr>
      <w:rPr>
        <w:rFonts w:hint="default"/>
        <w:lang w:val="en-US" w:eastAsia="en-US" w:bidi="ar-SA"/>
      </w:rPr>
    </w:lvl>
    <w:lvl w:ilvl="4" w:tplc="A2228200">
      <w:numFmt w:val="bullet"/>
      <w:lvlText w:val="•"/>
      <w:lvlJc w:val="left"/>
      <w:pPr>
        <w:ind w:left="4620" w:hanging="360"/>
      </w:pPr>
      <w:rPr>
        <w:rFonts w:hint="default"/>
        <w:lang w:val="en-US" w:eastAsia="en-US" w:bidi="ar-SA"/>
      </w:rPr>
    </w:lvl>
    <w:lvl w:ilvl="5" w:tplc="A4F25FC6">
      <w:numFmt w:val="bullet"/>
      <w:lvlText w:val="•"/>
      <w:lvlJc w:val="left"/>
      <w:pPr>
        <w:ind w:left="5480" w:hanging="360"/>
      </w:pPr>
      <w:rPr>
        <w:rFonts w:hint="default"/>
        <w:lang w:val="en-US" w:eastAsia="en-US" w:bidi="ar-SA"/>
      </w:rPr>
    </w:lvl>
    <w:lvl w:ilvl="6" w:tplc="9FD097B2">
      <w:numFmt w:val="bullet"/>
      <w:lvlText w:val="•"/>
      <w:lvlJc w:val="left"/>
      <w:pPr>
        <w:ind w:left="6340" w:hanging="360"/>
      </w:pPr>
      <w:rPr>
        <w:rFonts w:hint="default"/>
        <w:lang w:val="en-US" w:eastAsia="en-US" w:bidi="ar-SA"/>
      </w:rPr>
    </w:lvl>
    <w:lvl w:ilvl="7" w:tplc="0B5AF01E">
      <w:numFmt w:val="bullet"/>
      <w:lvlText w:val="•"/>
      <w:lvlJc w:val="left"/>
      <w:pPr>
        <w:ind w:left="7200" w:hanging="360"/>
      </w:pPr>
      <w:rPr>
        <w:rFonts w:hint="default"/>
        <w:lang w:val="en-US" w:eastAsia="en-US" w:bidi="ar-SA"/>
      </w:rPr>
    </w:lvl>
    <w:lvl w:ilvl="8" w:tplc="5642A8A8">
      <w:numFmt w:val="bullet"/>
      <w:lvlText w:val="•"/>
      <w:lvlJc w:val="left"/>
      <w:pPr>
        <w:ind w:left="8060" w:hanging="360"/>
      </w:pPr>
      <w:rPr>
        <w:rFonts w:hint="default"/>
        <w:lang w:val="en-US" w:eastAsia="en-US" w:bidi="ar-SA"/>
      </w:rPr>
    </w:lvl>
  </w:abstractNum>
  <w:abstractNum w:abstractNumId="29" w15:restartNumberingAfterBreak="0">
    <w:nsid w:val="691067BA"/>
    <w:multiLevelType w:val="multilevel"/>
    <w:tmpl w:val="54580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AF1759"/>
    <w:multiLevelType w:val="hybridMultilevel"/>
    <w:tmpl w:val="DDE4036A"/>
    <w:lvl w:ilvl="0" w:tplc="4246D53C">
      <w:start w:val="1"/>
      <w:numFmt w:val="upperLetter"/>
      <w:lvlText w:val="%1."/>
      <w:lvlJc w:val="left"/>
      <w:pPr>
        <w:ind w:left="1540" w:hanging="720"/>
      </w:pPr>
      <w:rPr>
        <w:rFonts w:ascii="Times New Roman" w:eastAsia="Times New Roman" w:hAnsi="Times New Roman" w:cs="Times New Roman" w:hint="default"/>
        <w:b/>
        <w:bCs/>
        <w:i w:val="0"/>
        <w:iCs w:val="0"/>
        <w:spacing w:val="-1"/>
        <w:w w:val="99"/>
        <w:sz w:val="22"/>
        <w:szCs w:val="22"/>
        <w:lang w:val="en-US" w:eastAsia="en-US" w:bidi="ar-SA"/>
      </w:rPr>
    </w:lvl>
    <w:lvl w:ilvl="1" w:tplc="F9EA32CC">
      <w:start w:val="1"/>
      <w:numFmt w:val="decimal"/>
      <w:lvlText w:val="%2."/>
      <w:lvlJc w:val="left"/>
      <w:pPr>
        <w:ind w:left="2260" w:hanging="720"/>
      </w:pPr>
      <w:rPr>
        <w:rFonts w:hint="default"/>
        <w:w w:val="99"/>
        <w:lang w:val="en-US" w:eastAsia="en-US" w:bidi="ar-SA"/>
      </w:rPr>
    </w:lvl>
    <w:lvl w:ilvl="2" w:tplc="01707E4A">
      <w:start w:val="1"/>
      <w:numFmt w:val="lowerLetter"/>
      <w:lvlText w:val="%3."/>
      <w:lvlJc w:val="left"/>
      <w:pPr>
        <w:ind w:left="2980" w:hanging="720"/>
      </w:pPr>
      <w:rPr>
        <w:rFonts w:hint="default"/>
        <w:spacing w:val="-1"/>
        <w:w w:val="99"/>
        <w:lang w:val="en-US" w:eastAsia="en-US" w:bidi="ar-SA"/>
      </w:rPr>
    </w:lvl>
    <w:lvl w:ilvl="3" w:tplc="55DE945C">
      <w:numFmt w:val="bullet"/>
      <w:lvlText w:val="•"/>
      <w:lvlJc w:val="left"/>
      <w:pPr>
        <w:ind w:left="3830" w:hanging="720"/>
      </w:pPr>
      <w:rPr>
        <w:rFonts w:hint="default"/>
        <w:lang w:val="en-US" w:eastAsia="en-US" w:bidi="ar-SA"/>
      </w:rPr>
    </w:lvl>
    <w:lvl w:ilvl="4" w:tplc="07AA75C4">
      <w:numFmt w:val="bullet"/>
      <w:lvlText w:val="•"/>
      <w:lvlJc w:val="left"/>
      <w:pPr>
        <w:ind w:left="4680" w:hanging="720"/>
      </w:pPr>
      <w:rPr>
        <w:rFonts w:hint="default"/>
        <w:lang w:val="en-US" w:eastAsia="en-US" w:bidi="ar-SA"/>
      </w:rPr>
    </w:lvl>
    <w:lvl w:ilvl="5" w:tplc="6570EF4E">
      <w:numFmt w:val="bullet"/>
      <w:lvlText w:val="•"/>
      <w:lvlJc w:val="left"/>
      <w:pPr>
        <w:ind w:left="5530" w:hanging="720"/>
      </w:pPr>
      <w:rPr>
        <w:rFonts w:hint="default"/>
        <w:lang w:val="en-US" w:eastAsia="en-US" w:bidi="ar-SA"/>
      </w:rPr>
    </w:lvl>
    <w:lvl w:ilvl="6" w:tplc="15AE32E0">
      <w:numFmt w:val="bullet"/>
      <w:lvlText w:val="•"/>
      <w:lvlJc w:val="left"/>
      <w:pPr>
        <w:ind w:left="6380" w:hanging="720"/>
      </w:pPr>
      <w:rPr>
        <w:rFonts w:hint="default"/>
        <w:lang w:val="en-US" w:eastAsia="en-US" w:bidi="ar-SA"/>
      </w:rPr>
    </w:lvl>
    <w:lvl w:ilvl="7" w:tplc="1A0C8066">
      <w:numFmt w:val="bullet"/>
      <w:lvlText w:val="•"/>
      <w:lvlJc w:val="left"/>
      <w:pPr>
        <w:ind w:left="7230" w:hanging="720"/>
      </w:pPr>
      <w:rPr>
        <w:rFonts w:hint="default"/>
        <w:lang w:val="en-US" w:eastAsia="en-US" w:bidi="ar-SA"/>
      </w:rPr>
    </w:lvl>
    <w:lvl w:ilvl="8" w:tplc="68AE6AEE">
      <w:numFmt w:val="bullet"/>
      <w:lvlText w:val="•"/>
      <w:lvlJc w:val="left"/>
      <w:pPr>
        <w:ind w:left="8080" w:hanging="720"/>
      </w:pPr>
      <w:rPr>
        <w:rFonts w:hint="default"/>
        <w:lang w:val="en-US" w:eastAsia="en-US" w:bidi="ar-SA"/>
      </w:rPr>
    </w:lvl>
  </w:abstractNum>
  <w:abstractNum w:abstractNumId="31" w15:restartNumberingAfterBreak="0">
    <w:nsid w:val="6C705710"/>
    <w:multiLevelType w:val="hybridMultilevel"/>
    <w:tmpl w:val="D28CD428"/>
    <w:lvl w:ilvl="0" w:tplc="95C4EBAC">
      <w:start w:val="1"/>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32" w15:restartNumberingAfterBreak="0">
    <w:nsid w:val="7325326D"/>
    <w:multiLevelType w:val="multilevel"/>
    <w:tmpl w:val="9F96B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C0695D"/>
    <w:multiLevelType w:val="multilevel"/>
    <w:tmpl w:val="C4DCE6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A66929"/>
    <w:multiLevelType w:val="hybridMultilevel"/>
    <w:tmpl w:val="DB7A9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2C6EF6"/>
    <w:multiLevelType w:val="hybridMultilevel"/>
    <w:tmpl w:val="8A928168"/>
    <w:lvl w:ilvl="0" w:tplc="1228F646">
      <w:start w:val="1"/>
      <w:numFmt w:val="upperLetter"/>
      <w:pStyle w:val="Heading2"/>
      <w:lvlText w:val="%1."/>
      <w:lvlJc w:val="left"/>
      <w:pPr>
        <w:ind w:left="3024" w:hanging="360"/>
      </w:p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36" w15:restartNumberingAfterBreak="0">
    <w:nsid w:val="7C2E4760"/>
    <w:multiLevelType w:val="hybridMultilevel"/>
    <w:tmpl w:val="BF9A2380"/>
    <w:lvl w:ilvl="0" w:tplc="69D2F4EE">
      <w:numFmt w:val="bullet"/>
      <w:lvlText w:val=""/>
      <w:lvlJc w:val="left"/>
      <w:pPr>
        <w:ind w:left="1180" w:hanging="360"/>
      </w:pPr>
      <w:rPr>
        <w:rFonts w:ascii="Symbol" w:eastAsia="Symbol" w:hAnsi="Symbol" w:cs="Symbol" w:hint="default"/>
        <w:w w:val="99"/>
        <w:lang w:val="en-US" w:eastAsia="en-US" w:bidi="ar-SA"/>
      </w:rPr>
    </w:lvl>
    <w:lvl w:ilvl="1" w:tplc="F3465E36">
      <w:numFmt w:val="bullet"/>
      <w:lvlText w:val="o"/>
      <w:lvlJc w:val="left"/>
      <w:pPr>
        <w:ind w:left="1540" w:hanging="360"/>
      </w:pPr>
      <w:rPr>
        <w:rFonts w:ascii="Courier New" w:eastAsia="Courier New" w:hAnsi="Courier New" w:cs="Courier New" w:hint="default"/>
        <w:b w:val="0"/>
        <w:bCs w:val="0"/>
        <w:i w:val="0"/>
        <w:iCs w:val="0"/>
        <w:w w:val="99"/>
        <w:sz w:val="22"/>
        <w:szCs w:val="22"/>
        <w:lang w:val="en-US" w:eastAsia="en-US" w:bidi="ar-SA"/>
      </w:rPr>
    </w:lvl>
    <w:lvl w:ilvl="2" w:tplc="D6C4992C">
      <w:numFmt w:val="bullet"/>
      <w:lvlText w:val="•"/>
      <w:lvlJc w:val="left"/>
      <w:pPr>
        <w:ind w:left="2455" w:hanging="360"/>
      </w:pPr>
      <w:rPr>
        <w:rFonts w:hint="default"/>
        <w:lang w:val="en-US" w:eastAsia="en-US" w:bidi="ar-SA"/>
      </w:rPr>
    </w:lvl>
    <w:lvl w:ilvl="3" w:tplc="A604764A">
      <w:numFmt w:val="bullet"/>
      <w:lvlText w:val="•"/>
      <w:lvlJc w:val="left"/>
      <w:pPr>
        <w:ind w:left="3371" w:hanging="360"/>
      </w:pPr>
      <w:rPr>
        <w:rFonts w:hint="default"/>
        <w:lang w:val="en-US" w:eastAsia="en-US" w:bidi="ar-SA"/>
      </w:rPr>
    </w:lvl>
    <w:lvl w:ilvl="4" w:tplc="527A94B8">
      <w:numFmt w:val="bullet"/>
      <w:lvlText w:val="•"/>
      <w:lvlJc w:val="left"/>
      <w:pPr>
        <w:ind w:left="4286" w:hanging="360"/>
      </w:pPr>
      <w:rPr>
        <w:rFonts w:hint="default"/>
        <w:lang w:val="en-US" w:eastAsia="en-US" w:bidi="ar-SA"/>
      </w:rPr>
    </w:lvl>
    <w:lvl w:ilvl="5" w:tplc="EC14535E">
      <w:numFmt w:val="bullet"/>
      <w:lvlText w:val="•"/>
      <w:lvlJc w:val="left"/>
      <w:pPr>
        <w:ind w:left="5202" w:hanging="360"/>
      </w:pPr>
      <w:rPr>
        <w:rFonts w:hint="default"/>
        <w:lang w:val="en-US" w:eastAsia="en-US" w:bidi="ar-SA"/>
      </w:rPr>
    </w:lvl>
    <w:lvl w:ilvl="6" w:tplc="BD24C5E4">
      <w:numFmt w:val="bullet"/>
      <w:lvlText w:val="•"/>
      <w:lvlJc w:val="left"/>
      <w:pPr>
        <w:ind w:left="6117" w:hanging="360"/>
      </w:pPr>
      <w:rPr>
        <w:rFonts w:hint="default"/>
        <w:lang w:val="en-US" w:eastAsia="en-US" w:bidi="ar-SA"/>
      </w:rPr>
    </w:lvl>
    <w:lvl w:ilvl="7" w:tplc="76BC90F4">
      <w:numFmt w:val="bullet"/>
      <w:lvlText w:val="•"/>
      <w:lvlJc w:val="left"/>
      <w:pPr>
        <w:ind w:left="7033" w:hanging="360"/>
      </w:pPr>
      <w:rPr>
        <w:rFonts w:hint="default"/>
        <w:lang w:val="en-US" w:eastAsia="en-US" w:bidi="ar-SA"/>
      </w:rPr>
    </w:lvl>
    <w:lvl w:ilvl="8" w:tplc="586E0BAE">
      <w:numFmt w:val="bullet"/>
      <w:lvlText w:val="•"/>
      <w:lvlJc w:val="left"/>
      <w:pPr>
        <w:ind w:left="7948" w:hanging="360"/>
      </w:pPr>
      <w:rPr>
        <w:rFonts w:hint="default"/>
        <w:lang w:val="en-US" w:eastAsia="en-US" w:bidi="ar-SA"/>
      </w:rPr>
    </w:lvl>
  </w:abstractNum>
  <w:abstractNum w:abstractNumId="37" w15:restartNumberingAfterBreak="0">
    <w:nsid w:val="7C8C6458"/>
    <w:multiLevelType w:val="hybridMultilevel"/>
    <w:tmpl w:val="A29A9F12"/>
    <w:lvl w:ilvl="0" w:tplc="B4BC0D18">
      <w:start w:val="1"/>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num w:numId="1" w16cid:durableId="1567640988">
    <w:abstractNumId w:val="13"/>
  </w:num>
  <w:num w:numId="2" w16cid:durableId="188957953">
    <w:abstractNumId w:val="36"/>
  </w:num>
  <w:num w:numId="3" w16cid:durableId="1472213026">
    <w:abstractNumId w:val="30"/>
  </w:num>
  <w:num w:numId="4" w16cid:durableId="1402871406">
    <w:abstractNumId w:val="21"/>
  </w:num>
  <w:num w:numId="5" w16cid:durableId="886142137">
    <w:abstractNumId w:val="25"/>
  </w:num>
  <w:num w:numId="6" w16cid:durableId="141973447">
    <w:abstractNumId w:val="14"/>
  </w:num>
  <w:num w:numId="7" w16cid:durableId="846403930">
    <w:abstractNumId w:val="28"/>
  </w:num>
  <w:num w:numId="8" w16cid:durableId="1298873733">
    <w:abstractNumId w:val="19"/>
  </w:num>
  <w:num w:numId="9" w16cid:durableId="625429490">
    <w:abstractNumId w:val="18"/>
  </w:num>
  <w:num w:numId="10" w16cid:durableId="92670448">
    <w:abstractNumId w:val="11"/>
  </w:num>
  <w:num w:numId="11" w16cid:durableId="941957589">
    <w:abstractNumId w:val="37"/>
  </w:num>
  <w:num w:numId="12" w16cid:durableId="240792389">
    <w:abstractNumId w:val="7"/>
  </w:num>
  <w:num w:numId="13" w16cid:durableId="2111049223">
    <w:abstractNumId w:val="29"/>
  </w:num>
  <w:num w:numId="14" w16cid:durableId="483665582">
    <w:abstractNumId w:val="5"/>
  </w:num>
  <w:num w:numId="15" w16cid:durableId="2064326508">
    <w:abstractNumId w:val="26"/>
  </w:num>
  <w:num w:numId="16" w16cid:durableId="876819132">
    <w:abstractNumId w:val="2"/>
  </w:num>
  <w:num w:numId="17" w16cid:durableId="1264456595">
    <w:abstractNumId w:val="33"/>
  </w:num>
  <w:num w:numId="18" w16cid:durableId="1171027163">
    <w:abstractNumId w:val="12"/>
  </w:num>
  <w:num w:numId="19" w16cid:durableId="277303543">
    <w:abstractNumId w:val="4"/>
  </w:num>
  <w:num w:numId="20" w16cid:durableId="1528524156">
    <w:abstractNumId w:val="32"/>
  </w:num>
  <w:num w:numId="21" w16cid:durableId="997347927">
    <w:abstractNumId w:val="31"/>
  </w:num>
  <w:num w:numId="22" w16cid:durableId="240875592">
    <w:abstractNumId w:val="20"/>
  </w:num>
  <w:num w:numId="23" w16cid:durableId="337851668">
    <w:abstractNumId w:val="6"/>
  </w:num>
  <w:num w:numId="24" w16cid:durableId="136073394">
    <w:abstractNumId w:val="8"/>
  </w:num>
  <w:num w:numId="25" w16cid:durableId="945380464">
    <w:abstractNumId w:val="15"/>
  </w:num>
  <w:num w:numId="26" w16cid:durableId="1838642896">
    <w:abstractNumId w:val="23"/>
  </w:num>
  <w:num w:numId="27" w16cid:durableId="1283346692">
    <w:abstractNumId w:val="34"/>
  </w:num>
  <w:num w:numId="28" w16cid:durableId="1965695826">
    <w:abstractNumId w:val="24"/>
  </w:num>
  <w:num w:numId="29" w16cid:durableId="1104030688">
    <w:abstractNumId w:val="3"/>
  </w:num>
  <w:num w:numId="30" w16cid:durableId="1733231463">
    <w:abstractNumId w:val="16"/>
  </w:num>
  <w:num w:numId="31" w16cid:durableId="973294392">
    <w:abstractNumId w:val="0"/>
  </w:num>
  <w:num w:numId="32" w16cid:durableId="570506162">
    <w:abstractNumId w:val="27"/>
  </w:num>
  <w:num w:numId="33" w16cid:durableId="1877353939">
    <w:abstractNumId w:val="17"/>
  </w:num>
  <w:num w:numId="34" w16cid:durableId="1183402571">
    <w:abstractNumId w:val="35"/>
  </w:num>
  <w:num w:numId="35" w16cid:durableId="1722898091">
    <w:abstractNumId w:val="9"/>
  </w:num>
  <w:num w:numId="36" w16cid:durableId="595478146">
    <w:abstractNumId w:val="22"/>
  </w:num>
  <w:num w:numId="37" w16cid:durableId="740178767">
    <w:abstractNumId w:val="9"/>
    <w:lvlOverride w:ilvl="0">
      <w:startOverride w:val="1"/>
    </w:lvlOverride>
  </w:num>
  <w:num w:numId="38" w16cid:durableId="868376897">
    <w:abstractNumId w:val="9"/>
    <w:lvlOverride w:ilvl="0">
      <w:startOverride w:val="1"/>
    </w:lvlOverride>
  </w:num>
  <w:num w:numId="39" w16cid:durableId="1105538464">
    <w:abstractNumId w:val="1"/>
  </w:num>
  <w:num w:numId="40" w16cid:durableId="1204250375">
    <w:abstractNumId w:val="35"/>
    <w:lvlOverride w:ilvl="0">
      <w:startOverride w:val="1"/>
    </w:lvlOverride>
  </w:num>
  <w:num w:numId="41" w16cid:durableId="1799488353">
    <w:abstractNumId w:val="35"/>
    <w:lvlOverride w:ilvl="0">
      <w:startOverride w:val="1"/>
    </w:lvlOverride>
  </w:num>
  <w:num w:numId="42" w16cid:durableId="428432048">
    <w:abstractNumId w:val="35"/>
    <w:lvlOverride w:ilvl="0">
      <w:startOverride w:val="1"/>
    </w:lvlOverride>
  </w:num>
  <w:num w:numId="43" w16cid:durableId="322778097">
    <w:abstractNumId w:val="35"/>
    <w:lvlOverride w:ilvl="0">
      <w:startOverride w:val="1"/>
    </w:lvlOverride>
  </w:num>
  <w:num w:numId="44" w16cid:durableId="1232340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89A"/>
    <w:rsid w:val="00005E24"/>
    <w:rsid w:val="00006FF1"/>
    <w:rsid w:val="00010A63"/>
    <w:rsid w:val="00010BF3"/>
    <w:rsid w:val="00015892"/>
    <w:rsid w:val="00015BB9"/>
    <w:rsid w:val="00021409"/>
    <w:rsid w:val="00021918"/>
    <w:rsid w:val="00022C46"/>
    <w:rsid w:val="000241A2"/>
    <w:rsid w:val="000259E7"/>
    <w:rsid w:val="00025CCD"/>
    <w:rsid w:val="0002613B"/>
    <w:rsid w:val="000265C6"/>
    <w:rsid w:val="00030585"/>
    <w:rsid w:val="00032903"/>
    <w:rsid w:val="00033CE1"/>
    <w:rsid w:val="00040172"/>
    <w:rsid w:val="00041468"/>
    <w:rsid w:val="00041BD8"/>
    <w:rsid w:val="000439C1"/>
    <w:rsid w:val="000458AD"/>
    <w:rsid w:val="00046F89"/>
    <w:rsid w:val="00047155"/>
    <w:rsid w:val="00050629"/>
    <w:rsid w:val="00050918"/>
    <w:rsid w:val="00051006"/>
    <w:rsid w:val="00052CA3"/>
    <w:rsid w:val="00055EBD"/>
    <w:rsid w:val="00057C3F"/>
    <w:rsid w:val="000603C1"/>
    <w:rsid w:val="00061C41"/>
    <w:rsid w:val="000667D7"/>
    <w:rsid w:val="00066F44"/>
    <w:rsid w:val="000676C3"/>
    <w:rsid w:val="00067D9A"/>
    <w:rsid w:val="000705DF"/>
    <w:rsid w:val="00070B1C"/>
    <w:rsid w:val="00075E49"/>
    <w:rsid w:val="00076F5F"/>
    <w:rsid w:val="0008162D"/>
    <w:rsid w:val="000818D2"/>
    <w:rsid w:val="0008274A"/>
    <w:rsid w:val="00085C53"/>
    <w:rsid w:val="00092565"/>
    <w:rsid w:val="00095346"/>
    <w:rsid w:val="00096D73"/>
    <w:rsid w:val="00096F8E"/>
    <w:rsid w:val="000A2CE1"/>
    <w:rsid w:val="000A3DB7"/>
    <w:rsid w:val="000A4D94"/>
    <w:rsid w:val="000A4DE4"/>
    <w:rsid w:val="000A694D"/>
    <w:rsid w:val="000B0618"/>
    <w:rsid w:val="000B07A4"/>
    <w:rsid w:val="000B2EA6"/>
    <w:rsid w:val="000B5522"/>
    <w:rsid w:val="000B7C62"/>
    <w:rsid w:val="000C0C80"/>
    <w:rsid w:val="000C3BD2"/>
    <w:rsid w:val="000C4FB9"/>
    <w:rsid w:val="000C5D2A"/>
    <w:rsid w:val="000D147A"/>
    <w:rsid w:val="000D4867"/>
    <w:rsid w:val="000D584F"/>
    <w:rsid w:val="000D5E7C"/>
    <w:rsid w:val="000D63F3"/>
    <w:rsid w:val="000D7C57"/>
    <w:rsid w:val="000D7EBD"/>
    <w:rsid w:val="000E14C1"/>
    <w:rsid w:val="000E1DF1"/>
    <w:rsid w:val="000E4C45"/>
    <w:rsid w:val="000E76AB"/>
    <w:rsid w:val="000F1074"/>
    <w:rsid w:val="000F17A9"/>
    <w:rsid w:val="000F23D4"/>
    <w:rsid w:val="000F69C7"/>
    <w:rsid w:val="000F7F47"/>
    <w:rsid w:val="00102934"/>
    <w:rsid w:val="00105BAA"/>
    <w:rsid w:val="00106E86"/>
    <w:rsid w:val="001076CA"/>
    <w:rsid w:val="0011082C"/>
    <w:rsid w:val="0011085C"/>
    <w:rsid w:val="00110B1A"/>
    <w:rsid w:val="00113EF1"/>
    <w:rsid w:val="00114513"/>
    <w:rsid w:val="001203B3"/>
    <w:rsid w:val="0012060B"/>
    <w:rsid w:val="00122EDD"/>
    <w:rsid w:val="001269D2"/>
    <w:rsid w:val="00127A3C"/>
    <w:rsid w:val="00127DBD"/>
    <w:rsid w:val="00130D75"/>
    <w:rsid w:val="00132BC5"/>
    <w:rsid w:val="0014024E"/>
    <w:rsid w:val="00140B57"/>
    <w:rsid w:val="00140F99"/>
    <w:rsid w:val="0014275B"/>
    <w:rsid w:val="00142AED"/>
    <w:rsid w:val="001434A0"/>
    <w:rsid w:val="00143E16"/>
    <w:rsid w:val="00144D0B"/>
    <w:rsid w:val="0014626C"/>
    <w:rsid w:val="001542C4"/>
    <w:rsid w:val="001551E9"/>
    <w:rsid w:val="00155978"/>
    <w:rsid w:val="001564B0"/>
    <w:rsid w:val="0015776B"/>
    <w:rsid w:val="00161974"/>
    <w:rsid w:val="001653A9"/>
    <w:rsid w:val="00166416"/>
    <w:rsid w:val="001679C5"/>
    <w:rsid w:val="00173D05"/>
    <w:rsid w:val="001765A0"/>
    <w:rsid w:val="00181362"/>
    <w:rsid w:val="001870B3"/>
    <w:rsid w:val="00190C12"/>
    <w:rsid w:val="00191C3F"/>
    <w:rsid w:val="00195C25"/>
    <w:rsid w:val="001A1B4D"/>
    <w:rsid w:val="001A2367"/>
    <w:rsid w:val="001A3FE3"/>
    <w:rsid w:val="001A4BE1"/>
    <w:rsid w:val="001A5C06"/>
    <w:rsid w:val="001A617C"/>
    <w:rsid w:val="001B0297"/>
    <w:rsid w:val="001B0657"/>
    <w:rsid w:val="001B1A0D"/>
    <w:rsid w:val="001C3C98"/>
    <w:rsid w:val="001D086C"/>
    <w:rsid w:val="001D0C15"/>
    <w:rsid w:val="001D0D0A"/>
    <w:rsid w:val="001D1567"/>
    <w:rsid w:val="001D1D57"/>
    <w:rsid w:val="001D26EC"/>
    <w:rsid w:val="001D4DD9"/>
    <w:rsid w:val="001D4E96"/>
    <w:rsid w:val="001D6B9E"/>
    <w:rsid w:val="001D7A89"/>
    <w:rsid w:val="001E1DD2"/>
    <w:rsid w:val="001E1FB9"/>
    <w:rsid w:val="001E50BC"/>
    <w:rsid w:val="001E6370"/>
    <w:rsid w:val="001E783C"/>
    <w:rsid w:val="001E7A09"/>
    <w:rsid w:val="001F3F51"/>
    <w:rsid w:val="001F3FBD"/>
    <w:rsid w:val="001F659B"/>
    <w:rsid w:val="001F6938"/>
    <w:rsid w:val="00200364"/>
    <w:rsid w:val="002012C9"/>
    <w:rsid w:val="00201785"/>
    <w:rsid w:val="00203B22"/>
    <w:rsid w:val="0020425D"/>
    <w:rsid w:val="002065B5"/>
    <w:rsid w:val="00206B08"/>
    <w:rsid w:val="0020769E"/>
    <w:rsid w:val="00210776"/>
    <w:rsid w:val="002116B7"/>
    <w:rsid w:val="00211C0C"/>
    <w:rsid w:val="0022057E"/>
    <w:rsid w:val="00222B4E"/>
    <w:rsid w:val="00223976"/>
    <w:rsid w:val="00224E34"/>
    <w:rsid w:val="002275C3"/>
    <w:rsid w:val="0023026B"/>
    <w:rsid w:val="00230C72"/>
    <w:rsid w:val="00232551"/>
    <w:rsid w:val="00232A6D"/>
    <w:rsid w:val="00232AE4"/>
    <w:rsid w:val="00232EEC"/>
    <w:rsid w:val="002345E6"/>
    <w:rsid w:val="002347F6"/>
    <w:rsid w:val="00235127"/>
    <w:rsid w:val="002404B7"/>
    <w:rsid w:val="00247A57"/>
    <w:rsid w:val="00250708"/>
    <w:rsid w:val="00251A0F"/>
    <w:rsid w:val="00253720"/>
    <w:rsid w:val="00253B44"/>
    <w:rsid w:val="00253EB7"/>
    <w:rsid w:val="002545C6"/>
    <w:rsid w:val="002545DE"/>
    <w:rsid w:val="002548A8"/>
    <w:rsid w:val="00261EE4"/>
    <w:rsid w:val="00261F2F"/>
    <w:rsid w:val="0026480C"/>
    <w:rsid w:val="0026495C"/>
    <w:rsid w:val="00266251"/>
    <w:rsid w:val="00266585"/>
    <w:rsid w:val="00270559"/>
    <w:rsid w:val="00274936"/>
    <w:rsid w:val="00274B1F"/>
    <w:rsid w:val="00280E33"/>
    <w:rsid w:val="00280E8C"/>
    <w:rsid w:val="00283FEC"/>
    <w:rsid w:val="002844B3"/>
    <w:rsid w:val="002847B1"/>
    <w:rsid w:val="00286042"/>
    <w:rsid w:val="00287236"/>
    <w:rsid w:val="002874F0"/>
    <w:rsid w:val="0028777A"/>
    <w:rsid w:val="0029212F"/>
    <w:rsid w:val="002926E6"/>
    <w:rsid w:val="002926E7"/>
    <w:rsid w:val="002927DE"/>
    <w:rsid w:val="00292A22"/>
    <w:rsid w:val="002948EC"/>
    <w:rsid w:val="00294F6C"/>
    <w:rsid w:val="00295FCD"/>
    <w:rsid w:val="00296706"/>
    <w:rsid w:val="002A0DF9"/>
    <w:rsid w:val="002A2E5F"/>
    <w:rsid w:val="002A5D81"/>
    <w:rsid w:val="002A62EA"/>
    <w:rsid w:val="002B10E6"/>
    <w:rsid w:val="002B1441"/>
    <w:rsid w:val="002B1D19"/>
    <w:rsid w:val="002B26D0"/>
    <w:rsid w:val="002B4775"/>
    <w:rsid w:val="002B48CF"/>
    <w:rsid w:val="002B7071"/>
    <w:rsid w:val="002B7D1C"/>
    <w:rsid w:val="002C063F"/>
    <w:rsid w:val="002C11DF"/>
    <w:rsid w:val="002C1560"/>
    <w:rsid w:val="002C2AF5"/>
    <w:rsid w:val="002C488D"/>
    <w:rsid w:val="002C5DB3"/>
    <w:rsid w:val="002C677D"/>
    <w:rsid w:val="002D1523"/>
    <w:rsid w:val="002D32F4"/>
    <w:rsid w:val="002D5F2C"/>
    <w:rsid w:val="002E07B9"/>
    <w:rsid w:val="002E5A64"/>
    <w:rsid w:val="002E7435"/>
    <w:rsid w:val="002F2E69"/>
    <w:rsid w:val="002F4EAE"/>
    <w:rsid w:val="002F556B"/>
    <w:rsid w:val="002F56BB"/>
    <w:rsid w:val="002F6F70"/>
    <w:rsid w:val="002F7406"/>
    <w:rsid w:val="003003E6"/>
    <w:rsid w:val="00301680"/>
    <w:rsid w:val="0030203D"/>
    <w:rsid w:val="00303F03"/>
    <w:rsid w:val="003069BA"/>
    <w:rsid w:val="00306BB9"/>
    <w:rsid w:val="003105EB"/>
    <w:rsid w:val="003109FC"/>
    <w:rsid w:val="00311C42"/>
    <w:rsid w:val="00311CB7"/>
    <w:rsid w:val="00312A77"/>
    <w:rsid w:val="00314017"/>
    <w:rsid w:val="00314424"/>
    <w:rsid w:val="00315CB0"/>
    <w:rsid w:val="003173FF"/>
    <w:rsid w:val="00321E2F"/>
    <w:rsid w:val="00321F0F"/>
    <w:rsid w:val="00322697"/>
    <w:rsid w:val="00323F2C"/>
    <w:rsid w:val="00324B35"/>
    <w:rsid w:val="00325F0F"/>
    <w:rsid w:val="00326674"/>
    <w:rsid w:val="00326D8A"/>
    <w:rsid w:val="003302C2"/>
    <w:rsid w:val="0033042F"/>
    <w:rsid w:val="00332C4F"/>
    <w:rsid w:val="00334335"/>
    <w:rsid w:val="003352BD"/>
    <w:rsid w:val="003404E8"/>
    <w:rsid w:val="0034091F"/>
    <w:rsid w:val="00341D1E"/>
    <w:rsid w:val="00341E34"/>
    <w:rsid w:val="003451E6"/>
    <w:rsid w:val="003456C3"/>
    <w:rsid w:val="0034642F"/>
    <w:rsid w:val="00346C8B"/>
    <w:rsid w:val="00347C49"/>
    <w:rsid w:val="00350215"/>
    <w:rsid w:val="003503B4"/>
    <w:rsid w:val="0035158A"/>
    <w:rsid w:val="00353069"/>
    <w:rsid w:val="00354247"/>
    <w:rsid w:val="003546D7"/>
    <w:rsid w:val="00355AC6"/>
    <w:rsid w:val="00356EEF"/>
    <w:rsid w:val="00357546"/>
    <w:rsid w:val="00357CF6"/>
    <w:rsid w:val="00361171"/>
    <w:rsid w:val="00364C5E"/>
    <w:rsid w:val="00365138"/>
    <w:rsid w:val="00365B62"/>
    <w:rsid w:val="00365E16"/>
    <w:rsid w:val="00366996"/>
    <w:rsid w:val="0036705D"/>
    <w:rsid w:val="00370AD9"/>
    <w:rsid w:val="00371690"/>
    <w:rsid w:val="003718E8"/>
    <w:rsid w:val="003735E1"/>
    <w:rsid w:val="0037411A"/>
    <w:rsid w:val="00377E01"/>
    <w:rsid w:val="00382379"/>
    <w:rsid w:val="00382765"/>
    <w:rsid w:val="00382F09"/>
    <w:rsid w:val="003859F7"/>
    <w:rsid w:val="00386E8E"/>
    <w:rsid w:val="00386EBA"/>
    <w:rsid w:val="00391D26"/>
    <w:rsid w:val="003922DD"/>
    <w:rsid w:val="00393B86"/>
    <w:rsid w:val="00394418"/>
    <w:rsid w:val="003969F7"/>
    <w:rsid w:val="00397353"/>
    <w:rsid w:val="003A0161"/>
    <w:rsid w:val="003A0788"/>
    <w:rsid w:val="003A2E55"/>
    <w:rsid w:val="003A4F41"/>
    <w:rsid w:val="003A7B11"/>
    <w:rsid w:val="003B048D"/>
    <w:rsid w:val="003B299E"/>
    <w:rsid w:val="003B3852"/>
    <w:rsid w:val="003B3B57"/>
    <w:rsid w:val="003B55E1"/>
    <w:rsid w:val="003B58B8"/>
    <w:rsid w:val="003C089A"/>
    <w:rsid w:val="003C14F1"/>
    <w:rsid w:val="003C1749"/>
    <w:rsid w:val="003C2252"/>
    <w:rsid w:val="003C37FB"/>
    <w:rsid w:val="003D1697"/>
    <w:rsid w:val="003D1EBD"/>
    <w:rsid w:val="003D32A7"/>
    <w:rsid w:val="003D344D"/>
    <w:rsid w:val="003D54B0"/>
    <w:rsid w:val="003E0C7A"/>
    <w:rsid w:val="003E2C9A"/>
    <w:rsid w:val="003E3431"/>
    <w:rsid w:val="003E3C3A"/>
    <w:rsid w:val="003E54BC"/>
    <w:rsid w:val="003E6A0B"/>
    <w:rsid w:val="003E77AB"/>
    <w:rsid w:val="003F04A8"/>
    <w:rsid w:val="003F1712"/>
    <w:rsid w:val="003F2A07"/>
    <w:rsid w:val="003F55C8"/>
    <w:rsid w:val="003F564A"/>
    <w:rsid w:val="003F6A3D"/>
    <w:rsid w:val="00400873"/>
    <w:rsid w:val="00400B9A"/>
    <w:rsid w:val="00402C47"/>
    <w:rsid w:val="00403598"/>
    <w:rsid w:val="00403678"/>
    <w:rsid w:val="004050F0"/>
    <w:rsid w:val="00405155"/>
    <w:rsid w:val="00405437"/>
    <w:rsid w:val="00405499"/>
    <w:rsid w:val="004068AD"/>
    <w:rsid w:val="004079FA"/>
    <w:rsid w:val="00407C6E"/>
    <w:rsid w:val="004104F2"/>
    <w:rsid w:val="004121A7"/>
    <w:rsid w:val="00412EF0"/>
    <w:rsid w:val="0041716C"/>
    <w:rsid w:val="00420459"/>
    <w:rsid w:val="00421793"/>
    <w:rsid w:val="00423030"/>
    <w:rsid w:val="00423CE1"/>
    <w:rsid w:val="004243D2"/>
    <w:rsid w:val="004268A2"/>
    <w:rsid w:val="00430D42"/>
    <w:rsid w:val="00431D92"/>
    <w:rsid w:val="00432B93"/>
    <w:rsid w:val="0043327E"/>
    <w:rsid w:val="0043557D"/>
    <w:rsid w:val="00435D4D"/>
    <w:rsid w:val="0043727A"/>
    <w:rsid w:val="00442C07"/>
    <w:rsid w:val="0044321B"/>
    <w:rsid w:val="0044363A"/>
    <w:rsid w:val="00450408"/>
    <w:rsid w:val="00451FD6"/>
    <w:rsid w:val="00457BE3"/>
    <w:rsid w:val="00464A05"/>
    <w:rsid w:val="00464A5D"/>
    <w:rsid w:val="00464C49"/>
    <w:rsid w:val="00465093"/>
    <w:rsid w:val="00466E0D"/>
    <w:rsid w:val="004705CC"/>
    <w:rsid w:val="00470D55"/>
    <w:rsid w:val="00471426"/>
    <w:rsid w:val="00471F64"/>
    <w:rsid w:val="004736FF"/>
    <w:rsid w:val="0047663D"/>
    <w:rsid w:val="004800C8"/>
    <w:rsid w:val="00480892"/>
    <w:rsid w:val="00485C85"/>
    <w:rsid w:val="00486B22"/>
    <w:rsid w:val="00490186"/>
    <w:rsid w:val="004967D4"/>
    <w:rsid w:val="004A2163"/>
    <w:rsid w:val="004A3B56"/>
    <w:rsid w:val="004A538C"/>
    <w:rsid w:val="004A6B34"/>
    <w:rsid w:val="004B1199"/>
    <w:rsid w:val="004B29F3"/>
    <w:rsid w:val="004B5487"/>
    <w:rsid w:val="004B6308"/>
    <w:rsid w:val="004C189A"/>
    <w:rsid w:val="004C1E17"/>
    <w:rsid w:val="004C3A1E"/>
    <w:rsid w:val="004C3B7F"/>
    <w:rsid w:val="004C49A6"/>
    <w:rsid w:val="004C6C57"/>
    <w:rsid w:val="004C6CF2"/>
    <w:rsid w:val="004D07EA"/>
    <w:rsid w:val="004D186B"/>
    <w:rsid w:val="004D2F0C"/>
    <w:rsid w:val="004D3925"/>
    <w:rsid w:val="004D3CEA"/>
    <w:rsid w:val="004D3DE5"/>
    <w:rsid w:val="004D3E6B"/>
    <w:rsid w:val="004D41F1"/>
    <w:rsid w:val="004D6C30"/>
    <w:rsid w:val="004D7305"/>
    <w:rsid w:val="004D764D"/>
    <w:rsid w:val="004E03A1"/>
    <w:rsid w:val="004E1133"/>
    <w:rsid w:val="004E623E"/>
    <w:rsid w:val="004F1245"/>
    <w:rsid w:val="004F24AF"/>
    <w:rsid w:val="004F25EE"/>
    <w:rsid w:val="004F2B26"/>
    <w:rsid w:val="004F373E"/>
    <w:rsid w:val="004F6E2C"/>
    <w:rsid w:val="0050031D"/>
    <w:rsid w:val="00500C8C"/>
    <w:rsid w:val="00501044"/>
    <w:rsid w:val="00501338"/>
    <w:rsid w:val="0050224E"/>
    <w:rsid w:val="0050638C"/>
    <w:rsid w:val="00506EAF"/>
    <w:rsid w:val="00511F1F"/>
    <w:rsid w:val="00512039"/>
    <w:rsid w:val="00513E32"/>
    <w:rsid w:val="00517149"/>
    <w:rsid w:val="005204AC"/>
    <w:rsid w:val="00520765"/>
    <w:rsid w:val="005214EE"/>
    <w:rsid w:val="0052281F"/>
    <w:rsid w:val="005260A0"/>
    <w:rsid w:val="00526857"/>
    <w:rsid w:val="005271AD"/>
    <w:rsid w:val="005325C1"/>
    <w:rsid w:val="00532E01"/>
    <w:rsid w:val="00536577"/>
    <w:rsid w:val="005401CE"/>
    <w:rsid w:val="00541003"/>
    <w:rsid w:val="0054363D"/>
    <w:rsid w:val="00543E1C"/>
    <w:rsid w:val="00544C5C"/>
    <w:rsid w:val="005456DC"/>
    <w:rsid w:val="00546F0D"/>
    <w:rsid w:val="005510FF"/>
    <w:rsid w:val="00553594"/>
    <w:rsid w:val="00553E18"/>
    <w:rsid w:val="00553FC6"/>
    <w:rsid w:val="00554732"/>
    <w:rsid w:val="0055592B"/>
    <w:rsid w:val="00555F27"/>
    <w:rsid w:val="00556500"/>
    <w:rsid w:val="0056161D"/>
    <w:rsid w:val="005642A4"/>
    <w:rsid w:val="00564463"/>
    <w:rsid w:val="005657D0"/>
    <w:rsid w:val="0057121E"/>
    <w:rsid w:val="005727AD"/>
    <w:rsid w:val="005755A7"/>
    <w:rsid w:val="00575DA5"/>
    <w:rsid w:val="005776DD"/>
    <w:rsid w:val="00580258"/>
    <w:rsid w:val="00580881"/>
    <w:rsid w:val="00581388"/>
    <w:rsid w:val="00582E94"/>
    <w:rsid w:val="00583AB8"/>
    <w:rsid w:val="00583F6F"/>
    <w:rsid w:val="00584EAA"/>
    <w:rsid w:val="00584F66"/>
    <w:rsid w:val="00594591"/>
    <w:rsid w:val="00594BD2"/>
    <w:rsid w:val="00597D65"/>
    <w:rsid w:val="005A1517"/>
    <w:rsid w:val="005A5AED"/>
    <w:rsid w:val="005A61EF"/>
    <w:rsid w:val="005A6249"/>
    <w:rsid w:val="005A6FFB"/>
    <w:rsid w:val="005B0341"/>
    <w:rsid w:val="005B49CA"/>
    <w:rsid w:val="005B533F"/>
    <w:rsid w:val="005B70D5"/>
    <w:rsid w:val="005B7E50"/>
    <w:rsid w:val="005C050C"/>
    <w:rsid w:val="005C0EEC"/>
    <w:rsid w:val="005C1112"/>
    <w:rsid w:val="005C259F"/>
    <w:rsid w:val="005C2CDC"/>
    <w:rsid w:val="005C3493"/>
    <w:rsid w:val="005C6B56"/>
    <w:rsid w:val="005C7323"/>
    <w:rsid w:val="005D0631"/>
    <w:rsid w:val="005D2103"/>
    <w:rsid w:val="005D60E8"/>
    <w:rsid w:val="005E167C"/>
    <w:rsid w:val="005E2733"/>
    <w:rsid w:val="005E3442"/>
    <w:rsid w:val="005E582F"/>
    <w:rsid w:val="005E5DC7"/>
    <w:rsid w:val="005E791B"/>
    <w:rsid w:val="005E7B37"/>
    <w:rsid w:val="005F035E"/>
    <w:rsid w:val="005F0514"/>
    <w:rsid w:val="005F24B7"/>
    <w:rsid w:val="005F2D5C"/>
    <w:rsid w:val="005F7707"/>
    <w:rsid w:val="005F7F4F"/>
    <w:rsid w:val="00601B36"/>
    <w:rsid w:val="006022D6"/>
    <w:rsid w:val="00603526"/>
    <w:rsid w:val="00606D59"/>
    <w:rsid w:val="0060713B"/>
    <w:rsid w:val="00610DE1"/>
    <w:rsid w:val="0061370C"/>
    <w:rsid w:val="0061381F"/>
    <w:rsid w:val="0061394C"/>
    <w:rsid w:val="00614269"/>
    <w:rsid w:val="006151EA"/>
    <w:rsid w:val="00617663"/>
    <w:rsid w:val="00622860"/>
    <w:rsid w:val="00624F74"/>
    <w:rsid w:val="00626D13"/>
    <w:rsid w:val="006272A7"/>
    <w:rsid w:val="006305EC"/>
    <w:rsid w:val="006331A2"/>
    <w:rsid w:val="00635034"/>
    <w:rsid w:val="00635A51"/>
    <w:rsid w:val="006364B7"/>
    <w:rsid w:val="00640A81"/>
    <w:rsid w:val="00644252"/>
    <w:rsid w:val="00651F8A"/>
    <w:rsid w:val="00656AD3"/>
    <w:rsid w:val="00657920"/>
    <w:rsid w:val="00657AB7"/>
    <w:rsid w:val="00661C31"/>
    <w:rsid w:val="006622F9"/>
    <w:rsid w:val="0066281F"/>
    <w:rsid w:val="00664BC2"/>
    <w:rsid w:val="006676E0"/>
    <w:rsid w:val="006712AA"/>
    <w:rsid w:val="00671449"/>
    <w:rsid w:val="006716A4"/>
    <w:rsid w:val="00671EF2"/>
    <w:rsid w:val="00672C0F"/>
    <w:rsid w:val="00673278"/>
    <w:rsid w:val="00673A80"/>
    <w:rsid w:val="00675517"/>
    <w:rsid w:val="0067597C"/>
    <w:rsid w:val="00675ABE"/>
    <w:rsid w:val="00681597"/>
    <w:rsid w:val="00685C3E"/>
    <w:rsid w:val="006917F6"/>
    <w:rsid w:val="00691F74"/>
    <w:rsid w:val="006955E1"/>
    <w:rsid w:val="00695D89"/>
    <w:rsid w:val="0069689E"/>
    <w:rsid w:val="006970AD"/>
    <w:rsid w:val="00697397"/>
    <w:rsid w:val="00697A61"/>
    <w:rsid w:val="006A01DF"/>
    <w:rsid w:val="006A30D8"/>
    <w:rsid w:val="006A362C"/>
    <w:rsid w:val="006A38AD"/>
    <w:rsid w:val="006A40C8"/>
    <w:rsid w:val="006A51ED"/>
    <w:rsid w:val="006A5484"/>
    <w:rsid w:val="006A5672"/>
    <w:rsid w:val="006A6552"/>
    <w:rsid w:val="006A7DBB"/>
    <w:rsid w:val="006B0082"/>
    <w:rsid w:val="006B01FE"/>
    <w:rsid w:val="006B3F84"/>
    <w:rsid w:val="006B5D6D"/>
    <w:rsid w:val="006B786E"/>
    <w:rsid w:val="006C30F8"/>
    <w:rsid w:val="006C3A3C"/>
    <w:rsid w:val="006C40DA"/>
    <w:rsid w:val="006C48B2"/>
    <w:rsid w:val="006C4E5E"/>
    <w:rsid w:val="006C59B2"/>
    <w:rsid w:val="006C7E61"/>
    <w:rsid w:val="006D15BA"/>
    <w:rsid w:val="006D1F9C"/>
    <w:rsid w:val="006D4BD1"/>
    <w:rsid w:val="006D54CA"/>
    <w:rsid w:val="006D7183"/>
    <w:rsid w:val="006D7219"/>
    <w:rsid w:val="006E0B5A"/>
    <w:rsid w:val="006E62F8"/>
    <w:rsid w:val="006E6313"/>
    <w:rsid w:val="006E6406"/>
    <w:rsid w:val="006E75D4"/>
    <w:rsid w:val="006F1DDD"/>
    <w:rsid w:val="006F1DFE"/>
    <w:rsid w:val="006F29D8"/>
    <w:rsid w:val="006F4C35"/>
    <w:rsid w:val="006F4F17"/>
    <w:rsid w:val="006F52F1"/>
    <w:rsid w:val="006F5440"/>
    <w:rsid w:val="006F5F55"/>
    <w:rsid w:val="006F6225"/>
    <w:rsid w:val="00701FF0"/>
    <w:rsid w:val="0070467D"/>
    <w:rsid w:val="00707FD4"/>
    <w:rsid w:val="00712390"/>
    <w:rsid w:val="00714488"/>
    <w:rsid w:val="0071550E"/>
    <w:rsid w:val="00715A1E"/>
    <w:rsid w:val="00715A2C"/>
    <w:rsid w:val="007173BC"/>
    <w:rsid w:val="00717553"/>
    <w:rsid w:val="00717DEF"/>
    <w:rsid w:val="00723177"/>
    <w:rsid w:val="007241CB"/>
    <w:rsid w:val="0072422E"/>
    <w:rsid w:val="0072427F"/>
    <w:rsid w:val="00725EF2"/>
    <w:rsid w:val="007275B3"/>
    <w:rsid w:val="00727F21"/>
    <w:rsid w:val="00730D6C"/>
    <w:rsid w:val="00731261"/>
    <w:rsid w:val="00734C6A"/>
    <w:rsid w:val="00735012"/>
    <w:rsid w:val="00735DC8"/>
    <w:rsid w:val="00741738"/>
    <w:rsid w:val="007418C2"/>
    <w:rsid w:val="0074271D"/>
    <w:rsid w:val="00745B8D"/>
    <w:rsid w:val="00746280"/>
    <w:rsid w:val="007468F7"/>
    <w:rsid w:val="00746CDD"/>
    <w:rsid w:val="007524F3"/>
    <w:rsid w:val="0075313B"/>
    <w:rsid w:val="00753CDD"/>
    <w:rsid w:val="007556AF"/>
    <w:rsid w:val="00762F55"/>
    <w:rsid w:val="00763FBA"/>
    <w:rsid w:val="00764017"/>
    <w:rsid w:val="00764324"/>
    <w:rsid w:val="00767E9F"/>
    <w:rsid w:val="00770A78"/>
    <w:rsid w:val="00773BA4"/>
    <w:rsid w:val="007756B5"/>
    <w:rsid w:val="007762D2"/>
    <w:rsid w:val="0078014F"/>
    <w:rsid w:val="007807BB"/>
    <w:rsid w:val="0078100D"/>
    <w:rsid w:val="00781063"/>
    <w:rsid w:val="0078226B"/>
    <w:rsid w:val="00784B4F"/>
    <w:rsid w:val="00785D74"/>
    <w:rsid w:val="00786BB2"/>
    <w:rsid w:val="00790F6D"/>
    <w:rsid w:val="007913C7"/>
    <w:rsid w:val="007946CE"/>
    <w:rsid w:val="00796985"/>
    <w:rsid w:val="00796D93"/>
    <w:rsid w:val="00797E5A"/>
    <w:rsid w:val="00797FAB"/>
    <w:rsid w:val="007A09DC"/>
    <w:rsid w:val="007A17A8"/>
    <w:rsid w:val="007A6A6D"/>
    <w:rsid w:val="007A6DF9"/>
    <w:rsid w:val="007A728B"/>
    <w:rsid w:val="007B3B85"/>
    <w:rsid w:val="007B3F6B"/>
    <w:rsid w:val="007B6815"/>
    <w:rsid w:val="007B78B7"/>
    <w:rsid w:val="007B7A17"/>
    <w:rsid w:val="007C139C"/>
    <w:rsid w:val="007C3099"/>
    <w:rsid w:val="007C3CA3"/>
    <w:rsid w:val="007C44A6"/>
    <w:rsid w:val="007C5E80"/>
    <w:rsid w:val="007C5EE1"/>
    <w:rsid w:val="007C6205"/>
    <w:rsid w:val="007D23F9"/>
    <w:rsid w:val="007D3793"/>
    <w:rsid w:val="007E04B1"/>
    <w:rsid w:val="007E0D8E"/>
    <w:rsid w:val="007E2B37"/>
    <w:rsid w:val="007E2FCE"/>
    <w:rsid w:val="007E3151"/>
    <w:rsid w:val="007E4188"/>
    <w:rsid w:val="007E6A1E"/>
    <w:rsid w:val="007E7038"/>
    <w:rsid w:val="007F0E36"/>
    <w:rsid w:val="007F4A7C"/>
    <w:rsid w:val="007F4B8A"/>
    <w:rsid w:val="007F5C2D"/>
    <w:rsid w:val="007F6441"/>
    <w:rsid w:val="007F7C85"/>
    <w:rsid w:val="007F7DCC"/>
    <w:rsid w:val="00802A23"/>
    <w:rsid w:val="008038DB"/>
    <w:rsid w:val="00805554"/>
    <w:rsid w:val="00805584"/>
    <w:rsid w:val="00805812"/>
    <w:rsid w:val="00806C4C"/>
    <w:rsid w:val="00807C70"/>
    <w:rsid w:val="00816EA5"/>
    <w:rsid w:val="0082098A"/>
    <w:rsid w:val="0082266E"/>
    <w:rsid w:val="00824EED"/>
    <w:rsid w:val="00825A7F"/>
    <w:rsid w:val="00826961"/>
    <w:rsid w:val="0083211C"/>
    <w:rsid w:val="00834546"/>
    <w:rsid w:val="00834D4E"/>
    <w:rsid w:val="008371F6"/>
    <w:rsid w:val="00840566"/>
    <w:rsid w:val="00840C53"/>
    <w:rsid w:val="00840FCD"/>
    <w:rsid w:val="0084653B"/>
    <w:rsid w:val="0084713F"/>
    <w:rsid w:val="00850067"/>
    <w:rsid w:val="00850215"/>
    <w:rsid w:val="00854E3D"/>
    <w:rsid w:val="00855139"/>
    <w:rsid w:val="008554C9"/>
    <w:rsid w:val="008575FD"/>
    <w:rsid w:val="00857E52"/>
    <w:rsid w:val="0086112C"/>
    <w:rsid w:val="00863573"/>
    <w:rsid w:val="00863620"/>
    <w:rsid w:val="00864F5F"/>
    <w:rsid w:val="008650D0"/>
    <w:rsid w:val="0086681C"/>
    <w:rsid w:val="0086697E"/>
    <w:rsid w:val="00866DEA"/>
    <w:rsid w:val="00867AFF"/>
    <w:rsid w:val="008717E6"/>
    <w:rsid w:val="00872314"/>
    <w:rsid w:val="00872A7F"/>
    <w:rsid w:val="008748AF"/>
    <w:rsid w:val="00874FEC"/>
    <w:rsid w:val="00875493"/>
    <w:rsid w:val="00876218"/>
    <w:rsid w:val="008838F0"/>
    <w:rsid w:val="0088393D"/>
    <w:rsid w:val="00884318"/>
    <w:rsid w:val="008849EC"/>
    <w:rsid w:val="00885504"/>
    <w:rsid w:val="00885A45"/>
    <w:rsid w:val="00886F33"/>
    <w:rsid w:val="00887071"/>
    <w:rsid w:val="0088750C"/>
    <w:rsid w:val="00887FAA"/>
    <w:rsid w:val="00895442"/>
    <w:rsid w:val="00896642"/>
    <w:rsid w:val="00896FCB"/>
    <w:rsid w:val="008A01B4"/>
    <w:rsid w:val="008A101D"/>
    <w:rsid w:val="008A1EBB"/>
    <w:rsid w:val="008A4AF3"/>
    <w:rsid w:val="008A4FCE"/>
    <w:rsid w:val="008A5615"/>
    <w:rsid w:val="008A5934"/>
    <w:rsid w:val="008A5FF2"/>
    <w:rsid w:val="008A6C08"/>
    <w:rsid w:val="008A7717"/>
    <w:rsid w:val="008B038B"/>
    <w:rsid w:val="008B07F0"/>
    <w:rsid w:val="008B2E17"/>
    <w:rsid w:val="008B3361"/>
    <w:rsid w:val="008B3F7B"/>
    <w:rsid w:val="008C4363"/>
    <w:rsid w:val="008C671E"/>
    <w:rsid w:val="008C7D62"/>
    <w:rsid w:val="008D03A9"/>
    <w:rsid w:val="008D093C"/>
    <w:rsid w:val="008D1E6C"/>
    <w:rsid w:val="008E16F6"/>
    <w:rsid w:val="008E1F70"/>
    <w:rsid w:val="008E360D"/>
    <w:rsid w:val="008E4BB0"/>
    <w:rsid w:val="008E64F5"/>
    <w:rsid w:val="008E7F1B"/>
    <w:rsid w:val="008F09D1"/>
    <w:rsid w:val="008F4C42"/>
    <w:rsid w:val="008F5037"/>
    <w:rsid w:val="008F537B"/>
    <w:rsid w:val="008F6428"/>
    <w:rsid w:val="008F655C"/>
    <w:rsid w:val="0090052A"/>
    <w:rsid w:val="00901445"/>
    <w:rsid w:val="00902540"/>
    <w:rsid w:val="00902C67"/>
    <w:rsid w:val="00902FB0"/>
    <w:rsid w:val="00904FF1"/>
    <w:rsid w:val="00906A44"/>
    <w:rsid w:val="009072FB"/>
    <w:rsid w:val="00907CB7"/>
    <w:rsid w:val="00907FC4"/>
    <w:rsid w:val="00910230"/>
    <w:rsid w:val="00911E7B"/>
    <w:rsid w:val="00916593"/>
    <w:rsid w:val="009165C5"/>
    <w:rsid w:val="009171A2"/>
    <w:rsid w:val="00917951"/>
    <w:rsid w:val="00920290"/>
    <w:rsid w:val="00920693"/>
    <w:rsid w:val="009222AD"/>
    <w:rsid w:val="009226A1"/>
    <w:rsid w:val="00923573"/>
    <w:rsid w:val="009252CE"/>
    <w:rsid w:val="00926CAE"/>
    <w:rsid w:val="009271DB"/>
    <w:rsid w:val="00927273"/>
    <w:rsid w:val="00927DE5"/>
    <w:rsid w:val="00927FB9"/>
    <w:rsid w:val="00930B01"/>
    <w:rsid w:val="009325D9"/>
    <w:rsid w:val="0093352C"/>
    <w:rsid w:val="00934E28"/>
    <w:rsid w:val="00935094"/>
    <w:rsid w:val="009352AD"/>
    <w:rsid w:val="009365EC"/>
    <w:rsid w:val="00943731"/>
    <w:rsid w:val="00945BB5"/>
    <w:rsid w:val="009512E7"/>
    <w:rsid w:val="00951B20"/>
    <w:rsid w:val="00953996"/>
    <w:rsid w:val="00954BC5"/>
    <w:rsid w:val="00955D8D"/>
    <w:rsid w:val="00957496"/>
    <w:rsid w:val="00960FEF"/>
    <w:rsid w:val="009618B9"/>
    <w:rsid w:val="0096231C"/>
    <w:rsid w:val="00963632"/>
    <w:rsid w:val="00965431"/>
    <w:rsid w:val="0096547F"/>
    <w:rsid w:val="0096569B"/>
    <w:rsid w:val="009658CB"/>
    <w:rsid w:val="00967106"/>
    <w:rsid w:val="00970A29"/>
    <w:rsid w:val="0097361D"/>
    <w:rsid w:val="009746FE"/>
    <w:rsid w:val="00974FA0"/>
    <w:rsid w:val="00975148"/>
    <w:rsid w:val="009828D2"/>
    <w:rsid w:val="00984B2A"/>
    <w:rsid w:val="00985EF6"/>
    <w:rsid w:val="00986BCD"/>
    <w:rsid w:val="00986ECB"/>
    <w:rsid w:val="009878A4"/>
    <w:rsid w:val="009921EB"/>
    <w:rsid w:val="009935B3"/>
    <w:rsid w:val="00995653"/>
    <w:rsid w:val="009958F9"/>
    <w:rsid w:val="009A0BA3"/>
    <w:rsid w:val="009A2955"/>
    <w:rsid w:val="009A3347"/>
    <w:rsid w:val="009A4D0F"/>
    <w:rsid w:val="009A51DA"/>
    <w:rsid w:val="009A5396"/>
    <w:rsid w:val="009B0DD9"/>
    <w:rsid w:val="009B1224"/>
    <w:rsid w:val="009B1CB5"/>
    <w:rsid w:val="009B4D71"/>
    <w:rsid w:val="009B6225"/>
    <w:rsid w:val="009B6C89"/>
    <w:rsid w:val="009C0DFF"/>
    <w:rsid w:val="009C60AC"/>
    <w:rsid w:val="009C71CC"/>
    <w:rsid w:val="009C76B2"/>
    <w:rsid w:val="009D1933"/>
    <w:rsid w:val="009D28A5"/>
    <w:rsid w:val="009D4784"/>
    <w:rsid w:val="009D56EB"/>
    <w:rsid w:val="009D60A8"/>
    <w:rsid w:val="009D6AC7"/>
    <w:rsid w:val="009D70B8"/>
    <w:rsid w:val="009E0BB7"/>
    <w:rsid w:val="009E420F"/>
    <w:rsid w:val="009E4FF4"/>
    <w:rsid w:val="009E523E"/>
    <w:rsid w:val="009E5AA7"/>
    <w:rsid w:val="009E5C57"/>
    <w:rsid w:val="009E623D"/>
    <w:rsid w:val="009E6A5A"/>
    <w:rsid w:val="009F1ED8"/>
    <w:rsid w:val="009F3182"/>
    <w:rsid w:val="009F3D96"/>
    <w:rsid w:val="009F6733"/>
    <w:rsid w:val="00A003B0"/>
    <w:rsid w:val="00A01DA7"/>
    <w:rsid w:val="00A02637"/>
    <w:rsid w:val="00A02FCF"/>
    <w:rsid w:val="00A03A73"/>
    <w:rsid w:val="00A0478F"/>
    <w:rsid w:val="00A04AA2"/>
    <w:rsid w:val="00A07BC2"/>
    <w:rsid w:val="00A1415B"/>
    <w:rsid w:val="00A1517A"/>
    <w:rsid w:val="00A17264"/>
    <w:rsid w:val="00A22EF3"/>
    <w:rsid w:val="00A23935"/>
    <w:rsid w:val="00A27DA0"/>
    <w:rsid w:val="00A3001B"/>
    <w:rsid w:val="00A30D29"/>
    <w:rsid w:val="00A30F83"/>
    <w:rsid w:val="00A32690"/>
    <w:rsid w:val="00A329FC"/>
    <w:rsid w:val="00A32EA7"/>
    <w:rsid w:val="00A332EA"/>
    <w:rsid w:val="00A36D6F"/>
    <w:rsid w:val="00A42DCA"/>
    <w:rsid w:val="00A43936"/>
    <w:rsid w:val="00A44966"/>
    <w:rsid w:val="00A4645B"/>
    <w:rsid w:val="00A52D06"/>
    <w:rsid w:val="00A541E1"/>
    <w:rsid w:val="00A54244"/>
    <w:rsid w:val="00A54AB6"/>
    <w:rsid w:val="00A550ED"/>
    <w:rsid w:val="00A55414"/>
    <w:rsid w:val="00A57329"/>
    <w:rsid w:val="00A6175E"/>
    <w:rsid w:val="00A637D5"/>
    <w:rsid w:val="00A6559D"/>
    <w:rsid w:val="00A656D5"/>
    <w:rsid w:val="00A66E32"/>
    <w:rsid w:val="00A70D00"/>
    <w:rsid w:val="00A72844"/>
    <w:rsid w:val="00A72C89"/>
    <w:rsid w:val="00A73335"/>
    <w:rsid w:val="00A7632A"/>
    <w:rsid w:val="00A809AD"/>
    <w:rsid w:val="00A8138E"/>
    <w:rsid w:val="00A81504"/>
    <w:rsid w:val="00A82F9E"/>
    <w:rsid w:val="00A830C2"/>
    <w:rsid w:val="00A86673"/>
    <w:rsid w:val="00A932FB"/>
    <w:rsid w:val="00A936A9"/>
    <w:rsid w:val="00A94E2A"/>
    <w:rsid w:val="00A95971"/>
    <w:rsid w:val="00A969D5"/>
    <w:rsid w:val="00AA02D1"/>
    <w:rsid w:val="00AA07D9"/>
    <w:rsid w:val="00AA1F1D"/>
    <w:rsid w:val="00AA3373"/>
    <w:rsid w:val="00AA5384"/>
    <w:rsid w:val="00AA6C0E"/>
    <w:rsid w:val="00AA7142"/>
    <w:rsid w:val="00AA7859"/>
    <w:rsid w:val="00AB0827"/>
    <w:rsid w:val="00AB25CE"/>
    <w:rsid w:val="00AB2BBF"/>
    <w:rsid w:val="00AB44C2"/>
    <w:rsid w:val="00AB4AFE"/>
    <w:rsid w:val="00AB4C0C"/>
    <w:rsid w:val="00AB5E3E"/>
    <w:rsid w:val="00AB6038"/>
    <w:rsid w:val="00AB7C91"/>
    <w:rsid w:val="00AC284B"/>
    <w:rsid w:val="00AC307A"/>
    <w:rsid w:val="00AC36BD"/>
    <w:rsid w:val="00AC398C"/>
    <w:rsid w:val="00AC3B7D"/>
    <w:rsid w:val="00AC5643"/>
    <w:rsid w:val="00AD0471"/>
    <w:rsid w:val="00AD0A16"/>
    <w:rsid w:val="00AD0CD3"/>
    <w:rsid w:val="00AD18A9"/>
    <w:rsid w:val="00AD5AE1"/>
    <w:rsid w:val="00AD6C10"/>
    <w:rsid w:val="00AD6EEA"/>
    <w:rsid w:val="00AD7F5E"/>
    <w:rsid w:val="00AE0BCC"/>
    <w:rsid w:val="00AE1789"/>
    <w:rsid w:val="00AE1F58"/>
    <w:rsid w:val="00AE2AAD"/>
    <w:rsid w:val="00AE513B"/>
    <w:rsid w:val="00AE600B"/>
    <w:rsid w:val="00AE62AE"/>
    <w:rsid w:val="00AE62E6"/>
    <w:rsid w:val="00AE7137"/>
    <w:rsid w:val="00AE7809"/>
    <w:rsid w:val="00AE7A92"/>
    <w:rsid w:val="00AF0754"/>
    <w:rsid w:val="00AF1F13"/>
    <w:rsid w:val="00AF2E10"/>
    <w:rsid w:val="00AF2EF1"/>
    <w:rsid w:val="00AF3111"/>
    <w:rsid w:val="00AF3E96"/>
    <w:rsid w:val="00AF3F4D"/>
    <w:rsid w:val="00AF6DFC"/>
    <w:rsid w:val="00B01896"/>
    <w:rsid w:val="00B01F1E"/>
    <w:rsid w:val="00B01FEF"/>
    <w:rsid w:val="00B02728"/>
    <w:rsid w:val="00B049E1"/>
    <w:rsid w:val="00B105B2"/>
    <w:rsid w:val="00B120E2"/>
    <w:rsid w:val="00B12C63"/>
    <w:rsid w:val="00B170E8"/>
    <w:rsid w:val="00B174AF"/>
    <w:rsid w:val="00B17F24"/>
    <w:rsid w:val="00B200DD"/>
    <w:rsid w:val="00B20418"/>
    <w:rsid w:val="00B20844"/>
    <w:rsid w:val="00B21A41"/>
    <w:rsid w:val="00B254F0"/>
    <w:rsid w:val="00B25D3C"/>
    <w:rsid w:val="00B277B3"/>
    <w:rsid w:val="00B34A2F"/>
    <w:rsid w:val="00B35180"/>
    <w:rsid w:val="00B3563D"/>
    <w:rsid w:val="00B37AFC"/>
    <w:rsid w:val="00B40B89"/>
    <w:rsid w:val="00B4133D"/>
    <w:rsid w:val="00B430F4"/>
    <w:rsid w:val="00B43128"/>
    <w:rsid w:val="00B457D1"/>
    <w:rsid w:val="00B4607B"/>
    <w:rsid w:val="00B46EB4"/>
    <w:rsid w:val="00B5016D"/>
    <w:rsid w:val="00B50507"/>
    <w:rsid w:val="00B50FA6"/>
    <w:rsid w:val="00B57748"/>
    <w:rsid w:val="00B62BC3"/>
    <w:rsid w:val="00B650E0"/>
    <w:rsid w:val="00B678A5"/>
    <w:rsid w:val="00B717C6"/>
    <w:rsid w:val="00B71ABB"/>
    <w:rsid w:val="00B71E22"/>
    <w:rsid w:val="00B72BD4"/>
    <w:rsid w:val="00B77C0A"/>
    <w:rsid w:val="00B81F9D"/>
    <w:rsid w:val="00B83AE9"/>
    <w:rsid w:val="00B871E6"/>
    <w:rsid w:val="00B8723D"/>
    <w:rsid w:val="00B92574"/>
    <w:rsid w:val="00B93B6B"/>
    <w:rsid w:val="00B96574"/>
    <w:rsid w:val="00B96948"/>
    <w:rsid w:val="00B9753E"/>
    <w:rsid w:val="00B97EEF"/>
    <w:rsid w:val="00BA0FC4"/>
    <w:rsid w:val="00BA1603"/>
    <w:rsid w:val="00BA17F8"/>
    <w:rsid w:val="00BA1952"/>
    <w:rsid w:val="00BA1F35"/>
    <w:rsid w:val="00BA22AB"/>
    <w:rsid w:val="00BA46ED"/>
    <w:rsid w:val="00BA75A4"/>
    <w:rsid w:val="00BA7802"/>
    <w:rsid w:val="00BA7B7F"/>
    <w:rsid w:val="00BA7D62"/>
    <w:rsid w:val="00BA7DAD"/>
    <w:rsid w:val="00BA7E40"/>
    <w:rsid w:val="00BB0221"/>
    <w:rsid w:val="00BB03D5"/>
    <w:rsid w:val="00BB0C4A"/>
    <w:rsid w:val="00BB23FD"/>
    <w:rsid w:val="00BB7DB4"/>
    <w:rsid w:val="00BC7878"/>
    <w:rsid w:val="00BD1806"/>
    <w:rsid w:val="00BD2D62"/>
    <w:rsid w:val="00BD6C31"/>
    <w:rsid w:val="00BD6DA8"/>
    <w:rsid w:val="00BD74B7"/>
    <w:rsid w:val="00BE1FBC"/>
    <w:rsid w:val="00BE30F2"/>
    <w:rsid w:val="00BE47E5"/>
    <w:rsid w:val="00BF13CC"/>
    <w:rsid w:val="00BF3070"/>
    <w:rsid w:val="00BF3879"/>
    <w:rsid w:val="00BF3A96"/>
    <w:rsid w:val="00BF4EB6"/>
    <w:rsid w:val="00C01E3C"/>
    <w:rsid w:val="00C16081"/>
    <w:rsid w:val="00C207DF"/>
    <w:rsid w:val="00C2104B"/>
    <w:rsid w:val="00C25A51"/>
    <w:rsid w:val="00C25F28"/>
    <w:rsid w:val="00C27BEB"/>
    <w:rsid w:val="00C31DBA"/>
    <w:rsid w:val="00C33D09"/>
    <w:rsid w:val="00C33F3B"/>
    <w:rsid w:val="00C349A9"/>
    <w:rsid w:val="00C34B7C"/>
    <w:rsid w:val="00C3530D"/>
    <w:rsid w:val="00C373A2"/>
    <w:rsid w:val="00C379F4"/>
    <w:rsid w:val="00C40A50"/>
    <w:rsid w:val="00C47575"/>
    <w:rsid w:val="00C50B2F"/>
    <w:rsid w:val="00C50FBB"/>
    <w:rsid w:val="00C52408"/>
    <w:rsid w:val="00C5325C"/>
    <w:rsid w:val="00C54138"/>
    <w:rsid w:val="00C54F51"/>
    <w:rsid w:val="00C55F59"/>
    <w:rsid w:val="00C56134"/>
    <w:rsid w:val="00C56F52"/>
    <w:rsid w:val="00C576E0"/>
    <w:rsid w:val="00C64C78"/>
    <w:rsid w:val="00C65A37"/>
    <w:rsid w:val="00C67ECA"/>
    <w:rsid w:val="00C70171"/>
    <w:rsid w:val="00C72EB9"/>
    <w:rsid w:val="00C731E3"/>
    <w:rsid w:val="00C7549D"/>
    <w:rsid w:val="00C75BF8"/>
    <w:rsid w:val="00C77019"/>
    <w:rsid w:val="00C813A9"/>
    <w:rsid w:val="00C8632B"/>
    <w:rsid w:val="00C86D20"/>
    <w:rsid w:val="00C92C44"/>
    <w:rsid w:val="00C94324"/>
    <w:rsid w:val="00C94F32"/>
    <w:rsid w:val="00C95375"/>
    <w:rsid w:val="00C95CEE"/>
    <w:rsid w:val="00C9767A"/>
    <w:rsid w:val="00CA4440"/>
    <w:rsid w:val="00CA50F1"/>
    <w:rsid w:val="00CA5209"/>
    <w:rsid w:val="00CA69E5"/>
    <w:rsid w:val="00CB25CF"/>
    <w:rsid w:val="00CB3326"/>
    <w:rsid w:val="00CB469B"/>
    <w:rsid w:val="00CB5DEC"/>
    <w:rsid w:val="00CB5F18"/>
    <w:rsid w:val="00CB7732"/>
    <w:rsid w:val="00CC049A"/>
    <w:rsid w:val="00CC0B31"/>
    <w:rsid w:val="00CC1F61"/>
    <w:rsid w:val="00CC2827"/>
    <w:rsid w:val="00CC3DD1"/>
    <w:rsid w:val="00CC4111"/>
    <w:rsid w:val="00CC5B78"/>
    <w:rsid w:val="00CD195F"/>
    <w:rsid w:val="00CD1EF7"/>
    <w:rsid w:val="00CD2D66"/>
    <w:rsid w:val="00CD6439"/>
    <w:rsid w:val="00CD7F7D"/>
    <w:rsid w:val="00CE1364"/>
    <w:rsid w:val="00CE1DFA"/>
    <w:rsid w:val="00CE458C"/>
    <w:rsid w:val="00CE48CE"/>
    <w:rsid w:val="00CE5367"/>
    <w:rsid w:val="00CF1915"/>
    <w:rsid w:val="00CF20A9"/>
    <w:rsid w:val="00CF3C01"/>
    <w:rsid w:val="00CF545C"/>
    <w:rsid w:val="00CF6A33"/>
    <w:rsid w:val="00D00614"/>
    <w:rsid w:val="00D007A1"/>
    <w:rsid w:val="00D03079"/>
    <w:rsid w:val="00D0325C"/>
    <w:rsid w:val="00D039EF"/>
    <w:rsid w:val="00D04ECA"/>
    <w:rsid w:val="00D05571"/>
    <w:rsid w:val="00D05663"/>
    <w:rsid w:val="00D10075"/>
    <w:rsid w:val="00D116F3"/>
    <w:rsid w:val="00D14DAE"/>
    <w:rsid w:val="00D1797D"/>
    <w:rsid w:val="00D17F98"/>
    <w:rsid w:val="00D2237B"/>
    <w:rsid w:val="00D23255"/>
    <w:rsid w:val="00D258D1"/>
    <w:rsid w:val="00D25B0A"/>
    <w:rsid w:val="00D27056"/>
    <w:rsid w:val="00D27BDF"/>
    <w:rsid w:val="00D30216"/>
    <w:rsid w:val="00D33257"/>
    <w:rsid w:val="00D3617A"/>
    <w:rsid w:val="00D3640F"/>
    <w:rsid w:val="00D37D39"/>
    <w:rsid w:val="00D4163B"/>
    <w:rsid w:val="00D42B0D"/>
    <w:rsid w:val="00D44364"/>
    <w:rsid w:val="00D45DA7"/>
    <w:rsid w:val="00D460BE"/>
    <w:rsid w:val="00D50639"/>
    <w:rsid w:val="00D50F00"/>
    <w:rsid w:val="00D512F7"/>
    <w:rsid w:val="00D5185F"/>
    <w:rsid w:val="00D51E99"/>
    <w:rsid w:val="00D534E1"/>
    <w:rsid w:val="00D539D3"/>
    <w:rsid w:val="00D54CFA"/>
    <w:rsid w:val="00D560B1"/>
    <w:rsid w:val="00D57980"/>
    <w:rsid w:val="00D631B1"/>
    <w:rsid w:val="00D74387"/>
    <w:rsid w:val="00D75F52"/>
    <w:rsid w:val="00D77374"/>
    <w:rsid w:val="00D77379"/>
    <w:rsid w:val="00D77D80"/>
    <w:rsid w:val="00D77E2C"/>
    <w:rsid w:val="00D80993"/>
    <w:rsid w:val="00D81DD3"/>
    <w:rsid w:val="00D84A86"/>
    <w:rsid w:val="00D84D22"/>
    <w:rsid w:val="00D8604E"/>
    <w:rsid w:val="00D8642F"/>
    <w:rsid w:val="00D86952"/>
    <w:rsid w:val="00D8697E"/>
    <w:rsid w:val="00D9015C"/>
    <w:rsid w:val="00D91F54"/>
    <w:rsid w:val="00D93F27"/>
    <w:rsid w:val="00D96D2F"/>
    <w:rsid w:val="00D97CC1"/>
    <w:rsid w:val="00D97D57"/>
    <w:rsid w:val="00DA02A9"/>
    <w:rsid w:val="00DA07A8"/>
    <w:rsid w:val="00DA3C57"/>
    <w:rsid w:val="00DA4395"/>
    <w:rsid w:val="00DA4851"/>
    <w:rsid w:val="00DA56E7"/>
    <w:rsid w:val="00DA5BAC"/>
    <w:rsid w:val="00DA717A"/>
    <w:rsid w:val="00DA78CD"/>
    <w:rsid w:val="00DB0CD0"/>
    <w:rsid w:val="00DB2982"/>
    <w:rsid w:val="00DB51FD"/>
    <w:rsid w:val="00DC3500"/>
    <w:rsid w:val="00DC45B7"/>
    <w:rsid w:val="00DD4C32"/>
    <w:rsid w:val="00DD7648"/>
    <w:rsid w:val="00DE0238"/>
    <w:rsid w:val="00DE16B6"/>
    <w:rsid w:val="00DE2B47"/>
    <w:rsid w:val="00DE3ECC"/>
    <w:rsid w:val="00DE4FE4"/>
    <w:rsid w:val="00DE634B"/>
    <w:rsid w:val="00DF1432"/>
    <w:rsid w:val="00DF1FDC"/>
    <w:rsid w:val="00DF229F"/>
    <w:rsid w:val="00DF3AE8"/>
    <w:rsid w:val="00DF42AF"/>
    <w:rsid w:val="00DF564C"/>
    <w:rsid w:val="00DF767C"/>
    <w:rsid w:val="00DF7E98"/>
    <w:rsid w:val="00DF7F35"/>
    <w:rsid w:val="00E007B7"/>
    <w:rsid w:val="00E00FD2"/>
    <w:rsid w:val="00E01D61"/>
    <w:rsid w:val="00E0235C"/>
    <w:rsid w:val="00E02D18"/>
    <w:rsid w:val="00E02D84"/>
    <w:rsid w:val="00E0470E"/>
    <w:rsid w:val="00E04969"/>
    <w:rsid w:val="00E04A68"/>
    <w:rsid w:val="00E0572F"/>
    <w:rsid w:val="00E06BBD"/>
    <w:rsid w:val="00E06EFA"/>
    <w:rsid w:val="00E07D3A"/>
    <w:rsid w:val="00E12266"/>
    <w:rsid w:val="00E128F6"/>
    <w:rsid w:val="00E12E02"/>
    <w:rsid w:val="00E17B67"/>
    <w:rsid w:val="00E2233C"/>
    <w:rsid w:val="00E23010"/>
    <w:rsid w:val="00E24B58"/>
    <w:rsid w:val="00E24BA5"/>
    <w:rsid w:val="00E25946"/>
    <w:rsid w:val="00E26202"/>
    <w:rsid w:val="00E26E8D"/>
    <w:rsid w:val="00E306CD"/>
    <w:rsid w:val="00E33396"/>
    <w:rsid w:val="00E33A46"/>
    <w:rsid w:val="00E3433F"/>
    <w:rsid w:val="00E349D9"/>
    <w:rsid w:val="00E35603"/>
    <w:rsid w:val="00E403F0"/>
    <w:rsid w:val="00E4053A"/>
    <w:rsid w:val="00E41A35"/>
    <w:rsid w:val="00E42A38"/>
    <w:rsid w:val="00E42B60"/>
    <w:rsid w:val="00E42E83"/>
    <w:rsid w:val="00E4490F"/>
    <w:rsid w:val="00E4733F"/>
    <w:rsid w:val="00E477FE"/>
    <w:rsid w:val="00E52FBA"/>
    <w:rsid w:val="00E53E2A"/>
    <w:rsid w:val="00E53E89"/>
    <w:rsid w:val="00E545F9"/>
    <w:rsid w:val="00E56ACB"/>
    <w:rsid w:val="00E5717E"/>
    <w:rsid w:val="00E62D46"/>
    <w:rsid w:val="00E648BB"/>
    <w:rsid w:val="00E66C82"/>
    <w:rsid w:val="00E67CCC"/>
    <w:rsid w:val="00E71CE0"/>
    <w:rsid w:val="00E7273C"/>
    <w:rsid w:val="00E75F7D"/>
    <w:rsid w:val="00E81275"/>
    <w:rsid w:val="00E822D4"/>
    <w:rsid w:val="00E85789"/>
    <w:rsid w:val="00E8666E"/>
    <w:rsid w:val="00E87E97"/>
    <w:rsid w:val="00E90980"/>
    <w:rsid w:val="00E92219"/>
    <w:rsid w:val="00E946AA"/>
    <w:rsid w:val="00E95247"/>
    <w:rsid w:val="00E9659D"/>
    <w:rsid w:val="00EA0397"/>
    <w:rsid w:val="00EA05A0"/>
    <w:rsid w:val="00EA3278"/>
    <w:rsid w:val="00EA4177"/>
    <w:rsid w:val="00EA4529"/>
    <w:rsid w:val="00EA5944"/>
    <w:rsid w:val="00EB193D"/>
    <w:rsid w:val="00EB3202"/>
    <w:rsid w:val="00EC3C54"/>
    <w:rsid w:val="00EC5AFF"/>
    <w:rsid w:val="00EC6FCB"/>
    <w:rsid w:val="00EC7F91"/>
    <w:rsid w:val="00ED0047"/>
    <w:rsid w:val="00ED1B6F"/>
    <w:rsid w:val="00ED241A"/>
    <w:rsid w:val="00ED374A"/>
    <w:rsid w:val="00ED60E3"/>
    <w:rsid w:val="00ED77CA"/>
    <w:rsid w:val="00ED789A"/>
    <w:rsid w:val="00ED7D9E"/>
    <w:rsid w:val="00EE0C5E"/>
    <w:rsid w:val="00EE3A5A"/>
    <w:rsid w:val="00EE6B3F"/>
    <w:rsid w:val="00EE7748"/>
    <w:rsid w:val="00EF1A75"/>
    <w:rsid w:val="00EF1C61"/>
    <w:rsid w:val="00EF569B"/>
    <w:rsid w:val="00EF578C"/>
    <w:rsid w:val="00EF667B"/>
    <w:rsid w:val="00EF67E9"/>
    <w:rsid w:val="00EF7B86"/>
    <w:rsid w:val="00F01E13"/>
    <w:rsid w:val="00F0256B"/>
    <w:rsid w:val="00F049CE"/>
    <w:rsid w:val="00F06F66"/>
    <w:rsid w:val="00F07CA6"/>
    <w:rsid w:val="00F12C52"/>
    <w:rsid w:val="00F13BD4"/>
    <w:rsid w:val="00F14BC1"/>
    <w:rsid w:val="00F179F9"/>
    <w:rsid w:val="00F17E31"/>
    <w:rsid w:val="00F23010"/>
    <w:rsid w:val="00F24655"/>
    <w:rsid w:val="00F24868"/>
    <w:rsid w:val="00F2612F"/>
    <w:rsid w:val="00F27E4E"/>
    <w:rsid w:val="00F322B4"/>
    <w:rsid w:val="00F353C5"/>
    <w:rsid w:val="00F4080F"/>
    <w:rsid w:val="00F418FA"/>
    <w:rsid w:val="00F42939"/>
    <w:rsid w:val="00F433DA"/>
    <w:rsid w:val="00F44C8A"/>
    <w:rsid w:val="00F506B8"/>
    <w:rsid w:val="00F508F8"/>
    <w:rsid w:val="00F5099E"/>
    <w:rsid w:val="00F50B02"/>
    <w:rsid w:val="00F50DAC"/>
    <w:rsid w:val="00F52676"/>
    <w:rsid w:val="00F53702"/>
    <w:rsid w:val="00F53BB5"/>
    <w:rsid w:val="00F55143"/>
    <w:rsid w:val="00F60A64"/>
    <w:rsid w:val="00F61FBB"/>
    <w:rsid w:val="00F632D2"/>
    <w:rsid w:val="00F63C19"/>
    <w:rsid w:val="00F63EC3"/>
    <w:rsid w:val="00F7044D"/>
    <w:rsid w:val="00F73A62"/>
    <w:rsid w:val="00F80426"/>
    <w:rsid w:val="00F85BF9"/>
    <w:rsid w:val="00F879B1"/>
    <w:rsid w:val="00F87F7E"/>
    <w:rsid w:val="00F87FC3"/>
    <w:rsid w:val="00F90250"/>
    <w:rsid w:val="00F9184A"/>
    <w:rsid w:val="00F91E50"/>
    <w:rsid w:val="00F93B60"/>
    <w:rsid w:val="00F94483"/>
    <w:rsid w:val="00F94B55"/>
    <w:rsid w:val="00FA01DD"/>
    <w:rsid w:val="00FA111E"/>
    <w:rsid w:val="00FA41C9"/>
    <w:rsid w:val="00FA5A63"/>
    <w:rsid w:val="00FB1583"/>
    <w:rsid w:val="00FB2E41"/>
    <w:rsid w:val="00FB483E"/>
    <w:rsid w:val="00FB77DF"/>
    <w:rsid w:val="00FC0857"/>
    <w:rsid w:val="00FC2078"/>
    <w:rsid w:val="00FC3D02"/>
    <w:rsid w:val="00FC53D8"/>
    <w:rsid w:val="00FC5B0C"/>
    <w:rsid w:val="00FC62F3"/>
    <w:rsid w:val="00FD4302"/>
    <w:rsid w:val="00FD60D3"/>
    <w:rsid w:val="00FD6BA4"/>
    <w:rsid w:val="00FD6DEE"/>
    <w:rsid w:val="00FD6EA2"/>
    <w:rsid w:val="00FE09CA"/>
    <w:rsid w:val="00FE2642"/>
    <w:rsid w:val="00FE6265"/>
    <w:rsid w:val="00FF0C3B"/>
    <w:rsid w:val="00FF1A2D"/>
    <w:rsid w:val="00FF2A7A"/>
    <w:rsid w:val="00FF356F"/>
    <w:rsid w:val="00FF6BDA"/>
    <w:rsid w:val="018C90E5"/>
    <w:rsid w:val="01D334C0"/>
    <w:rsid w:val="01DDD93A"/>
    <w:rsid w:val="02AC0DDE"/>
    <w:rsid w:val="02D9368C"/>
    <w:rsid w:val="0311FF95"/>
    <w:rsid w:val="035F861A"/>
    <w:rsid w:val="03BA4A6C"/>
    <w:rsid w:val="0412E067"/>
    <w:rsid w:val="0469EC7F"/>
    <w:rsid w:val="0485F08E"/>
    <w:rsid w:val="04C31A75"/>
    <w:rsid w:val="04FB567B"/>
    <w:rsid w:val="055A994C"/>
    <w:rsid w:val="059AB1D0"/>
    <w:rsid w:val="06C55253"/>
    <w:rsid w:val="06E3A5AF"/>
    <w:rsid w:val="06F036D4"/>
    <w:rsid w:val="06F1AB58"/>
    <w:rsid w:val="0727DDD9"/>
    <w:rsid w:val="072CFA9A"/>
    <w:rsid w:val="07AB9756"/>
    <w:rsid w:val="08107371"/>
    <w:rsid w:val="083AC15E"/>
    <w:rsid w:val="083E0D54"/>
    <w:rsid w:val="086FA38E"/>
    <w:rsid w:val="088A198F"/>
    <w:rsid w:val="08E8F791"/>
    <w:rsid w:val="0918D09E"/>
    <w:rsid w:val="092840C7"/>
    <w:rsid w:val="092A4605"/>
    <w:rsid w:val="0970DB23"/>
    <w:rsid w:val="099DA96D"/>
    <w:rsid w:val="0A222BBC"/>
    <w:rsid w:val="0A723AF8"/>
    <w:rsid w:val="0ABAE0EF"/>
    <w:rsid w:val="0AC01692"/>
    <w:rsid w:val="0AD3E28A"/>
    <w:rsid w:val="0AFA748E"/>
    <w:rsid w:val="0BDCD054"/>
    <w:rsid w:val="0C4C2FA1"/>
    <w:rsid w:val="0C643C7F"/>
    <w:rsid w:val="0C6CC8A6"/>
    <w:rsid w:val="0C8B16A9"/>
    <w:rsid w:val="0CEB8B91"/>
    <w:rsid w:val="0CED4003"/>
    <w:rsid w:val="0D4DBC34"/>
    <w:rsid w:val="0DCB5C25"/>
    <w:rsid w:val="0DF60C89"/>
    <w:rsid w:val="0E0D85A6"/>
    <w:rsid w:val="0E417F27"/>
    <w:rsid w:val="0E8043D2"/>
    <w:rsid w:val="0EE320B1"/>
    <w:rsid w:val="0F998789"/>
    <w:rsid w:val="103E4D06"/>
    <w:rsid w:val="1045D92B"/>
    <w:rsid w:val="1072A5BB"/>
    <w:rsid w:val="113557EA"/>
    <w:rsid w:val="11D278DD"/>
    <w:rsid w:val="123CE56A"/>
    <w:rsid w:val="12660D52"/>
    <w:rsid w:val="127ACBE5"/>
    <w:rsid w:val="12854253"/>
    <w:rsid w:val="12CE705C"/>
    <w:rsid w:val="133DA282"/>
    <w:rsid w:val="136C69C5"/>
    <w:rsid w:val="136E493E"/>
    <w:rsid w:val="139145F7"/>
    <w:rsid w:val="13942663"/>
    <w:rsid w:val="13D8B5CB"/>
    <w:rsid w:val="140A78AA"/>
    <w:rsid w:val="14751482"/>
    <w:rsid w:val="14B38DCA"/>
    <w:rsid w:val="15344ACA"/>
    <w:rsid w:val="16E6DE20"/>
    <w:rsid w:val="174F3354"/>
    <w:rsid w:val="175125F6"/>
    <w:rsid w:val="178D9C20"/>
    <w:rsid w:val="17BBE9D0"/>
    <w:rsid w:val="17D46EA7"/>
    <w:rsid w:val="17DC0043"/>
    <w:rsid w:val="187D1618"/>
    <w:rsid w:val="18EB316E"/>
    <w:rsid w:val="18ED4843"/>
    <w:rsid w:val="191799C1"/>
    <w:rsid w:val="1950E5F0"/>
    <w:rsid w:val="19640B9B"/>
    <w:rsid w:val="198DE4C1"/>
    <w:rsid w:val="19D68E74"/>
    <w:rsid w:val="1A0B4D4F"/>
    <w:rsid w:val="1A68908F"/>
    <w:rsid w:val="1A7AC1E0"/>
    <w:rsid w:val="1ACC3F92"/>
    <w:rsid w:val="1B1895F6"/>
    <w:rsid w:val="1B2FDB45"/>
    <w:rsid w:val="1B3ECADC"/>
    <w:rsid w:val="1B9275C1"/>
    <w:rsid w:val="1BBF6361"/>
    <w:rsid w:val="1BC11723"/>
    <w:rsid w:val="1C169241"/>
    <w:rsid w:val="1C48018C"/>
    <w:rsid w:val="1C9FEC7E"/>
    <w:rsid w:val="1CA3ACF7"/>
    <w:rsid w:val="1CCD5A1E"/>
    <w:rsid w:val="1CD1AB48"/>
    <w:rsid w:val="1CFBC4F5"/>
    <w:rsid w:val="1D60FE7C"/>
    <w:rsid w:val="1D8493BD"/>
    <w:rsid w:val="1DA651CF"/>
    <w:rsid w:val="1DDB4838"/>
    <w:rsid w:val="1E2AD59A"/>
    <w:rsid w:val="1E3E0210"/>
    <w:rsid w:val="1E4CC305"/>
    <w:rsid w:val="1E9D4D03"/>
    <w:rsid w:val="1EDF0BB1"/>
    <w:rsid w:val="1EFDD5F3"/>
    <w:rsid w:val="1F176C63"/>
    <w:rsid w:val="1F9E7FD0"/>
    <w:rsid w:val="1FF5040A"/>
    <w:rsid w:val="201466C0"/>
    <w:rsid w:val="20235503"/>
    <w:rsid w:val="20373B51"/>
    <w:rsid w:val="203AC95A"/>
    <w:rsid w:val="209BF24B"/>
    <w:rsid w:val="20B3475C"/>
    <w:rsid w:val="211C3B78"/>
    <w:rsid w:val="2143EB49"/>
    <w:rsid w:val="21933FC2"/>
    <w:rsid w:val="21AA797E"/>
    <w:rsid w:val="21AE9DC9"/>
    <w:rsid w:val="21C66130"/>
    <w:rsid w:val="2212FE17"/>
    <w:rsid w:val="22133C49"/>
    <w:rsid w:val="222A40B8"/>
    <w:rsid w:val="236F165F"/>
    <w:rsid w:val="239CD812"/>
    <w:rsid w:val="23C1E6AB"/>
    <w:rsid w:val="23ECCB2C"/>
    <w:rsid w:val="2458AED3"/>
    <w:rsid w:val="24B32BE6"/>
    <w:rsid w:val="2528D41F"/>
    <w:rsid w:val="254F2253"/>
    <w:rsid w:val="256D8541"/>
    <w:rsid w:val="26FD32DC"/>
    <w:rsid w:val="273219F5"/>
    <w:rsid w:val="278F0A51"/>
    <w:rsid w:val="2840FE79"/>
    <w:rsid w:val="28827DCD"/>
    <w:rsid w:val="28964955"/>
    <w:rsid w:val="29129527"/>
    <w:rsid w:val="29D4971F"/>
    <w:rsid w:val="2A5060FB"/>
    <w:rsid w:val="2A77BD4D"/>
    <w:rsid w:val="2ADA6FC4"/>
    <w:rsid w:val="2B0B3861"/>
    <w:rsid w:val="2B0FD2FF"/>
    <w:rsid w:val="2B31BFF7"/>
    <w:rsid w:val="2B8F6A83"/>
    <w:rsid w:val="2BBA1E8F"/>
    <w:rsid w:val="2C03D334"/>
    <w:rsid w:val="2C3BA510"/>
    <w:rsid w:val="2C66E513"/>
    <w:rsid w:val="2CCA8A21"/>
    <w:rsid w:val="2D84BB95"/>
    <w:rsid w:val="2DBF0C2F"/>
    <w:rsid w:val="2E33D824"/>
    <w:rsid w:val="2E3E6E31"/>
    <w:rsid w:val="2EB2E4E8"/>
    <w:rsid w:val="2F3980D4"/>
    <w:rsid w:val="2F72402A"/>
    <w:rsid w:val="30BA8BA5"/>
    <w:rsid w:val="30CEF034"/>
    <w:rsid w:val="30E3A810"/>
    <w:rsid w:val="314D8005"/>
    <w:rsid w:val="3158C020"/>
    <w:rsid w:val="31A5E8CA"/>
    <w:rsid w:val="323301E0"/>
    <w:rsid w:val="32429057"/>
    <w:rsid w:val="32576FDF"/>
    <w:rsid w:val="325CC490"/>
    <w:rsid w:val="32C8C888"/>
    <w:rsid w:val="32CEAE32"/>
    <w:rsid w:val="33015567"/>
    <w:rsid w:val="334D0FA1"/>
    <w:rsid w:val="33D91FF9"/>
    <w:rsid w:val="3404F1CC"/>
    <w:rsid w:val="341690A7"/>
    <w:rsid w:val="342F0E62"/>
    <w:rsid w:val="3445DC93"/>
    <w:rsid w:val="35331D5F"/>
    <w:rsid w:val="35BD2FC1"/>
    <w:rsid w:val="35C155C8"/>
    <w:rsid w:val="35CF6DCE"/>
    <w:rsid w:val="35E28756"/>
    <w:rsid w:val="368CB611"/>
    <w:rsid w:val="3694E2AB"/>
    <w:rsid w:val="376C849F"/>
    <w:rsid w:val="379B02B4"/>
    <w:rsid w:val="37ACCC2A"/>
    <w:rsid w:val="37EA45CD"/>
    <w:rsid w:val="3884DC2E"/>
    <w:rsid w:val="38C431A7"/>
    <w:rsid w:val="38E059BD"/>
    <w:rsid w:val="39168100"/>
    <w:rsid w:val="3942B7AE"/>
    <w:rsid w:val="394F7C48"/>
    <w:rsid w:val="39777A18"/>
    <w:rsid w:val="39BA7456"/>
    <w:rsid w:val="39BFB972"/>
    <w:rsid w:val="39F4C2AE"/>
    <w:rsid w:val="39FC89E5"/>
    <w:rsid w:val="3A492FF2"/>
    <w:rsid w:val="3A5F07FD"/>
    <w:rsid w:val="3A62A9FD"/>
    <w:rsid w:val="3A6F662F"/>
    <w:rsid w:val="3A898AF9"/>
    <w:rsid w:val="3B362DA0"/>
    <w:rsid w:val="3B623787"/>
    <w:rsid w:val="3B6AE014"/>
    <w:rsid w:val="3C624EA6"/>
    <w:rsid w:val="3CDB4C2F"/>
    <w:rsid w:val="3D044C0E"/>
    <w:rsid w:val="3D36E266"/>
    <w:rsid w:val="3E70D721"/>
    <w:rsid w:val="3F26A3F7"/>
    <w:rsid w:val="3F5A1809"/>
    <w:rsid w:val="3FBD7B9C"/>
    <w:rsid w:val="408F5245"/>
    <w:rsid w:val="40D0E26A"/>
    <w:rsid w:val="40E2BDF1"/>
    <w:rsid w:val="4150C2EC"/>
    <w:rsid w:val="41655885"/>
    <w:rsid w:val="417BE695"/>
    <w:rsid w:val="41DB518D"/>
    <w:rsid w:val="425BE6AB"/>
    <w:rsid w:val="4280F98F"/>
    <w:rsid w:val="42A09465"/>
    <w:rsid w:val="42A6A488"/>
    <w:rsid w:val="42AA32E1"/>
    <w:rsid w:val="441CC9F0"/>
    <w:rsid w:val="442280D4"/>
    <w:rsid w:val="4494F78E"/>
    <w:rsid w:val="451ED3BA"/>
    <w:rsid w:val="453BB131"/>
    <w:rsid w:val="4598C579"/>
    <w:rsid w:val="45B363CA"/>
    <w:rsid w:val="463E18B7"/>
    <w:rsid w:val="46496B78"/>
    <w:rsid w:val="467BF6AF"/>
    <w:rsid w:val="4692AEB4"/>
    <w:rsid w:val="46A61A41"/>
    <w:rsid w:val="46BB639D"/>
    <w:rsid w:val="46C5D597"/>
    <w:rsid w:val="46DBBF25"/>
    <w:rsid w:val="46FA5875"/>
    <w:rsid w:val="47381C22"/>
    <w:rsid w:val="48559F3E"/>
    <w:rsid w:val="48DB042D"/>
    <w:rsid w:val="4929ED9E"/>
    <w:rsid w:val="49E9E7AE"/>
    <w:rsid w:val="4A34413A"/>
    <w:rsid w:val="4A5476F4"/>
    <w:rsid w:val="4BB8C5C8"/>
    <w:rsid w:val="4BEC2DC1"/>
    <w:rsid w:val="4C0CCD17"/>
    <w:rsid w:val="4C2BCD4C"/>
    <w:rsid w:val="4C2E9A6B"/>
    <w:rsid w:val="4C6C3312"/>
    <w:rsid w:val="4D193D38"/>
    <w:rsid w:val="4D8B5FF0"/>
    <w:rsid w:val="4D8E3549"/>
    <w:rsid w:val="4DF27020"/>
    <w:rsid w:val="4E37A562"/>
    <w:rsid w:val="4F752A32"/>
    <w:rsid w:val="50286A5D"/>
    <w:rsid w:val="507C1DE8"/>
    <w:rsid w:val="50988C4B"/>
    <w:rsid w:val="50B43487"/>
    <w:rsid w:val="50C03549"/>
    <w:rsid w:val="5110FA93"/>
    <w:rsid w:val="51179BBA"/>
    <w:rsid w:val="527E40DC"/>
    <w:rsid w:val="52D0C907"/>
    <w:rsid w:val="52DFDC93"/>
    <w:rsid w:val="53E7938A"/>
    <w:rsid w:val="53EAD4BC"/>
    <w:rsid w:val="53ED1671"/>
    <w:rsid w:val="54C1EB2C"/>
    <w:rsid w:val="55B159DC"/>
    <w:rsid w:val="5631982C"/>
    <w:rsid w:val="564A3E6C"/>
    <w:rsid w:val="56C93FA4"/>
    <w:rsid w:val="56F697F5"/>
    <w:rsid w:val="57052726"/>
    <w:rsid w:val="571E684D"/>
    <w:rsid w:val="586C1184"/>
    <w:rsid w:val="58EC1DFF"/>
    <w:rsid w:val="5966203E"/>
    <w:rsid w:val="5B17E040"/>
    <w:rsid w:val="5B4341A8"/>
    <w:rsid w:val="5C0661BC"/>
    <w:rsid w:val="5C1BA984"/>
    <w:rsid w:val="5C406817"/>
    <w:rsid w:val="5CD55C86"/>
    <w:rsid w:val="5DEB550E"/>
    <w:rsid w:val="5E37593A"/>
    <w:rsid w:val="5EF8BCEA"/>
    <w:rsid w:val="5F5F4423"/>
    <w:rsid w:val="60295DD2"/>
    <w:rsid w:val="610671F5"/>
    <w:rsid w:val="6131CDF9"/>
    <w:rsid w:val="61A5A34E"/>
    <w:rsid w:val="61D48C3C"/>
    <w:rsid w:val="6234B304"/>
    <w:rsid w:val="62691D2C"/>
    <w:rsid w:val="6297180E"/>
    <w:rsid w:val="62A6461F"/>
    <w:rsid w:val="62B32AD8"/>
    <w:rsid w:val="630BC774"/>
    <w:rsid w:val="63352B30"/>
    <w:rsid w:val="633BDC23"/>
    <w:rsid w:val="635508F4"/>
    <w:rsid w:val="63932D48"/>
    <w:rsid w:val="63942251"/>
    <w:rsid w:val="641B881D"/>
    <w:rsid w:val="64E15009"/>
    <w:rsid w:val="64FC27EF"/>
    <w:rsid w:val="658DDB3E"/>
    <w:rsid w:val="65F8DB33"/>
    <w:rsid w:val="664D39DC"/>
    <w:rsid w:val="66839F48"/>
    <w:rsid w:val="6731185F"/>
    <w:rsid w:val="6760343B"/>
    <w:rsid w:val="688C2DE9"/>
    <w:rsid w:val="6954C6B3"/>
    <w:rsid w:val="69A68B6C"/>
    <w:rsid w:val="6A7DD955"/>
    <w:rsid w:val="6A91E14B"/>
    <w:rsid w:val="6B54FEDC"/>
    <w:rsid w:val="6B909781"/>
    <w:rsid w:val="6C1508DD"/>
    <w:rsid w:val="6C5E9B49"/>
    <w:rsid w:val="6C5F7197"/>
    <w:rsid w:val="6C8A6CA7"/>
    <w:rsid w:val="6CF49E30"/>
    <w:rsid w:val="6CFEF958"/>
    <w:rsid w:val="6DA15BF6"/>
    <w:rsid w:val="6DDA0DA0"/>
    <w:rsid w:val="6DE3FEE3"/>
    <w:rsid w:val="6DF83B55"/>
    <w:rsid w:val="6E6450B3"/>
    <w:rsid w:val="6F27D8CB"/>
    <w:rsid w:val="70411601"/>
    <w:rsid w:val="709534B9"/>
    <w:rsid w:val="70F2F944"/>
    <w:rsid w:val="716B0377"/>
    <w:rsid w:val="716DB839"/>
    <w:rsid w:val="7182A2CA"/>
    <w:rsid w:val="72E4310B"/>
    <w:rsid w:val="7352A4B6"/>
    <w:rsid w:val="742285F4"/>
    <w:rsid w:val="749C9709"/>
    <w:rsid w:val="754F7D7F"/>
    <w:rsid w:val="7564977A"/>
    <w:rsid w:val="756E047E"/>
    <w:rsid w:val="75BE5655"/>
    <w:rsid w:val="75BF27A6"/>
    <w:rsid w:val="75EDBC4F"/>
    <w:rsid w:val="75F1B5A4"/>
    <w:rsid w:val="75F75812"/>
    <w:rsid w:val="76407706"/>
    <w:rsid w:val="76585BC2"/>
    <w:rsid w:val="765EE743"/>
    <w:rsid w:val="77272297"/>
    <w:rsid w:val="778F199C"/>
    <w:rsid w:val="77D707A2"/>
    <w:rsid w:val="77E8F8A8"/>
    <w:rsid w:val="78C1AB94"/>
    <w:rsid w:val="79FFF7A7"/>
    <w:rsid w:val="7A0C6129"/>
    <w:rsid w:val="7A618B57"/>
    <w:rsid w:val="7AB2A969"/>
    <w:rsid w:val="7B20A514"/>
    <w:rsid w:val="7B45C7A3"/>
    <w:rsid w:val="7B6B7087"/>
    <w:rsid w:val="7C01B247"/>
    <w:rsid w:val="7D379869"/>
    <w:rsid w:val="7D439BA5"/>
    <w:rsid w:val="7DC8C52F"/>
    <w:rsid w:val="7E2898D5"/>
    <w:rsid w:val="7E5C4728"/>
    <w:rsid w:val="7EB328C3"/>
    <w:rsid w:val="7EFDB68C"/>
    <w:rsid w:val="7F77D0F5"/>
    <w:rsid w:val="7FBF3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F149D"/>
  <w15:docId w15:val="{356086A2-552D-45E6-A34E-AA525380D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rsid w:val="009D4784"/>
    <w:pPr>
      <w:numPr>
        <w:numId w:val="33"/>
      </w:numPr>
      <w:spacing w:before="120" w:after="120"/>
      <w:ind w:left="0" w:firstLine="187"/>
      <w:outlineLvl w:val="0"/>
    </w:pPr>
    <w:rPr>
      <w:b/>
      <w:bCs/>
    </w:rPr>
  </w:style>
  <w:style w:type="paragraph" w:styleId="Heading2">
    <w:name w:val="heading 2"/>
    <w:basedOn w:val="Normal"/>
    <w:next w:val="Normal"/>
    <w:link w:val="Heading2Char"/>
    <w:uiPriority w:val="9"/>
    <w:unhideWhenUsed/>
    <w:qFormat/>
    <w:rsid w:val="00253B44"/>
    <w:pPr>
      <w:keepNext/>
      <w:keepLines/>
      <w:numPr>
        <w:numId w:val="34"/>
      </w:numPr>
      <w:spacing w:before="120" w:after="120"/>
      <w:ind w:left="360" w:firstLine="36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E06BBD"/>
    <w:pPr>
      <w:keepNext/>
      <w:keepLines/>
      <w:numPr>
        <w:numId w:val="35"/>
      </w:numPr>
      <w:spacing w:before="120" w:after="120"/>
      <w:ind w:firstLine="0"/>
      <w:outlineLvl w:val="2"/>
    </w:pPr>
    <w:rPr>
      <w:rFonts w:eastAsiaTheme="majorEastAsia" w:cstheme="majorBidi"/>
      <w:b/>
      <w:color w:val="000000" w:themeColor="text1"/>
      <w:szCs w:val="24"/>
    </w:rPr>
  </w:style>
  <w:style w:type="paragraph" w:styleId="Heading4">
    <w:name w:val="heading 4"/>
    <w:basedOn w:val="Normal"/>
    <w:next w:val="Normal"/>
    <w:link w:val="Heading4Char"/>
    <w:uiPriority w:val="9"/>
    <w:unhideWhenUsed/>
    <w:qFormat/>
    <w:rsid w:val="005204AC"/>
    <w:pPr>
      <w:keepNext/>
      <w:keepLines/>
      <w:numPr>
        <w:numId w:val="39"/>
      </w:numPr>
      <w:spacing w:before="40"/>
      <w:ind w:left="1440" w:firstLine="360"/>
      <w:outlineLvl w:val="3"/>
    </w:pPr>
    <w:rPr>
      <w:rFonts w:eastAsiaTheme="majorEastAsia"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0" w:after="120"/>
    </w:pPr>
    <w:rPr>
      <w:rFonts w:asciiTheme="minorHAnsi" w:hAnsiTheme="minorHAnsi" w:cstheme="minorHAnsi"/>
      <w:b/>
      <w:bCs/>
      <w:caps/>
      <w:sz w:val="20"/>
      <w:szCs w:val="20"/>
    </w:rPr>
  </w:style>
  <w:style w:type="paragraph" w:styleId="TOC2">
    <w:name w:val="toc 2"/>
    <w:basedOn w:val="Normal"/>
    <w:uiPriority w:val="39"/>
    <w:qFormat/>
    <w:pPr>
      <w:ind w:left="220"/>
    </w:pPr>
    <w:rPr>
      <w:rFonts w:asciiTheme="minorHAnsi" w:hAnsiTheme="minorHAnsi" w:cstheme="minorHAnsi"/>
      <w:smallCaps/>
      <w:sz w:val="20"/>
      <w:szCs w:val="20"/>
    </w:rPr>
  </w:style>
  <w:style w:type="paragraph" w:styleId="TOC3">
    <w:name w:val="toc 3"/>
    <w:basedOn w:val="Normal"/>
    <w:uiPriority w:val="39"/>
    <w:qFormat/>
    <w:pPr>
      <w:ind w:left="440"/>
    </w:pPr>
    <w:rPr>
      <w:rFonts w:asciiTheme="minorHAnsi" w:hAnsiTheme="minorHAnsi" w:cstheme="minorHAnsi"/>
      <w:i/>
      <w:iCs/>
      <w:sz w:val="20"/>
      <w:szCs w:val="20"/>
    </w:rPr>
  </w:style>
  <w:style w:type="paragraph" w:styleId="BodyText">
    <w:name w:val="Body Text"/>
    <w:basedOn w:val="Normal"/>
    <w:link w:val="BodyTextChar"/>
    <w:uiPriority w:val="1"/>
    <w:qFormat/>
    <w:pPr>
      <w:ind w:left="100"/>
    </w:pPr>
  </w:style>
  <w:style w:type="paragraph" w:styleId="ListParagraph">
    <w:name w:val="List Paragraph"/>
    <w:basedOn w:val="Normal"/>
    <w:uiPriority w:val="1"/>
    <w:qFormat/>
    <w:pPr>
      <w:ind w:left="1180" w:hanging="360"/>
    </w:pPr>
  </w:style>
  <w:style w:type="paragraph" w:customStyle="1" w:styleId="TableParagraph">
    <w:name w:val="Table Paragraph"/>
    <w:basedOn w:val="Normal"/>
    <w:uiPriority w:val="1"/>
    <w:qFormat/>
  </w:style>
  <w:style w:type="paragraph" w:styleId="Revision">
    <w:name w:val="Revision"/>
    <w:hidden/>
    <w:uiPriority w:val="99"/>
    <w:semiHidden/>
    <w:rsid w:val="006022D6"/>
    <w:pPr>
      <w:widowControl/>
      <w:autoSpaceDE/>
      <w:autoSpaceDN/>
    </w:pPr>
    <w:rPr>
      <w:rFonts w:ascii="Times New Roman" w:eastAsia="Times New Roman" w:hAnsi="Times New Roman" w:cs="Times New Roman"/>
    </w:rPr>
  </w:style>
  <w:style w:type="character" w:styleId="Hyperlink">
    <w:name w:val="Hyperlink"/>
    <w:basedOn w:val="DefaultParagraphFont"/>
    <w:uiPriority w:val="99"/>
    <w:unhideWhenUsed/>
    <w:rsid w:val="000A2CE1"/>
    <w:rPr>
      <w:color w:val="0000FF" w:themeColor="hyperlink"/>
      <w:u w:val="single"/>
    </w:rPr>
  </w:style>
  <w:style w:type="character" w:styleId="UnresolvedMention">
    <w:name w:val="Unresolved Mention"/>
    <w:basedOn w:val="DefaultParagraphFont"/>
    <w:uiPriority w:val="99"/>
    <w:semiHidden/>
    <w:unhideWhenUsed/>
    <w:rsid w:val="000A2CE1"/>
    <w:rPr>
      <w:color w:val="605E5C"/>
      <w:shd w:val="clear" w:color="auto" w:fill="E1DFDD"/>
    </w:rPr>
  </w:style>
  <w:style w:type="paragraph" w:styleId="NormalWeb">
    <w:name w:val="Normal (Web)"/>
    <w:basedOn w:val="Normal"/>
    <w:uiPriority w:val="99"/>
    <w:unhideWhenUsed/>
    <w:rsid w:val="000259E7"/>
    <w:pPr>
      <w:widowControl/>
      <w:autoSpaceDE/>
      <w:autoSpaceDN/>
      <w:spacing w:before="100" w:beforeAutospacing="1" w:after="100" w:afterAutospacing="1"/>
    </w:pPr>
    <w:rPr>
      <w:sz w:val="24"/>
      <w:szCs w:val="24"/>
    </w:rPr>
  </w:style>
  <w:style w:type="character" w:styleId="CommentReference">
    <w:name w:val="annotation reference"/>
    <w:basedOn w:val="DefaultParagraphFont"/>
    <w:uiPriority w:val="99"/>
    <w:semiHidden/>
    <w:unhideWhenUsed/>
    <w:rsid w:val="001A1B4D"/>
    <w:rPr>
      <w:sz w:val="16"/>
      <w:szCs w:val="16"/>
    </w:rPr>
  </w:style>
  <w:style w:type="paragraph" w:styleId="CommentText">
    <w:name w:val="annotation text"/>
    <w:basedOn w:val="Normal"/>
    <w:link w:val="CommentTextChar"/>
    <w:uiPriority w:val="99"/>
    <w:unhideWhenUsed/>
    <w:rsid w:val="001A1B4D"/>
    <w:rPr>
      <w:sz w:val="20"/>
      <w:szCs w:val="20"/>
    </w:rPr>
  </w:style>
  <w:style w:type="character" w:customStyle="1" w:styleId="CommentTextChar">
    <w:name w:val="Comment Text Char"/>
    <w:basedOn w:val="DefaultParagraphFont"/>
    <w:link w:val="CommentText"/>
    <w:uiPriority w:val="99"/>
    <w:rsid w:val="001A1B4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A1B4D"/>
    <w:rPr>
      <w:b/>
      <w:bCs/>
    </w:rPr>
  </w:style>
  <w:style w:type="character" w:customStyle="1" w:styleId="CommentSubjectChar">
    <w:name w:val="Comment Subject Char"/>
    <w:basedOn w:val="CommentTextChar"/>
    <w:link w:val="CommentSubject"/>
    <w:uiPriority w:val="99"/>
    <w:semiHidden/>
    <w:rsid w:val="001A1B4D"/>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A94E2A"/>
    <w:rPr>
      <w:color w:val="800080" w:themeColor="followedHyperlink"/>
      <w:u w:val="single"/>
    </w:rPr>
  </w:style>
  <w:style w:type="paragraph" w:styleId="FootnoteText">
    <w:name w:val="footnote text"/>
    <w:aliases w:val="ALTS FOOTNOTE,ALTS FOOTNOTE Char,Footnote Text Char Char Char,Footnote Text Char Char Char Char Char Char,Footnote Text Char1 Char,Footnote Text Char1 Char1 Char Char Char,Footnote Text Char2,Footnote Text Char2 Char Char Char,f,fn,fn Cha"/>
    <w:basedOn w:val="Normal"/>
    <w:link w:val="FootnoteTextChar"/>
    <w:unhideWhenUsed/>
    <w:rsid w:val="006D1F9C"/>
    <w:rPr>
      <w:sz w:val="20"/>
      <w:szCs w:val="20"/>
    </w:rPr>
  </w:style>
  <w:style w:type="character" w:customStyle="1" w:styleId="FootnoteTextChar">
    <w:name w:val="Footnote Text Char"/>
    <w:aliases w:val="ALTS FOOTNOTE Char1,ALTS FOOTNOTE Char Char,Footnote Text Char Char Char Char,Footnote Text Char Char Char Char Char Char Char,Footnote Text Char1 Char Char,Footnote Text Char1 Char1 Char Char Char Char,Footnote Text Char2 Char,f Char"/>
    <w:basedOn w:val="DefaultParagraphFont"/>
    <w:link w:val="FootnoteText"/>
    <w:rsid w:val="006D1F9C"/>
    <w:rPr>
      <w:rFonts w:ascii="Times New Roman" w:eastAsia="Times New Roman" w:hAnsi="Times New Roman" w:cs="Times New Roman"/>
      <w:sz w:val="20"/>
      <w:szCs w:val="20"/>
    </w:rPr>
  </w:style>
  <w:style w:type="character" w:styleId="FootnoteReference">
    <w:name w:val="footnote reference"/>
    <w:aliases w:val="(NECG) Footnote Reference,-E Funotenzeichen,A,Appel note de bas de p,FR,Footnote Reference/,Footnote Reference1,Ref,Style 1,Style 12,Style 124,Style 13,Style 17,Style 20,Style 3,Style 34,Style 4,Style 6,Style 7,Style 9,callout,fr,o"/>
    <w:basedOn w:val="DefaultParagraphFont"/>
    <w:unhideWhenUsed/>
    <w:rsid w:val="006D1F9C"/>
    <w:rPr>
      <w:vertAlign w:val="superscript"/>
    </w:rPr>
  </w:style>
  <w:style w:type="paragraph" w:styleId="Header">
    <w:name w:val="header"/>
    <w:basedOn w:val="Normal"/>
    <w:link w:val="HeaderChar"/>
    <w:uiPriority w:val="99"/>
    <w:unhideWhenUsed/>
    <w:rsid w:val="006C40DA"/>
    <w:pPr>
      <w:tabs>
        <w:tab w:val="center" w:pos="4680"/>
        <w:tab w:val="right" w:pos="9360"/>
      </w:tabs>
    </w:pPr>
  </w:style>
  <w:style w:type="character" w:customStyle="1" w:styleId="HeaderChar">
    <w:name w:val="Header Char"/>
    <w:basedOn w:val="DefaultParagraphFont"/>
    <w:link w:val="Header"/>
    <w:uiPriority w:val="99"/>
    <w:rsid w:val="006C40DA"/>
    <w:rPr>
      <w:rFonts w:ascii="Times New Roman" w:eastAsia="Times New Roman" w:hAnsi="Times New Roman" w:cs="Times New Roman"/>
    </w:rPr>
  </w:style>
  <w:style w:type="paragraph" w:styleId="Footer">
    <w:name w:val="footer"/>
    <w:basedOn w:val="Normal"/>
    <w:link w:val="FooterChar"/>
    <w:uiPriority w:val="99"/>
    <w:unhideWhenUsed/>
    <w:rsid w:val="006C40DA"/>
    <w:pPr>
      <w:tabs>
        <w:tab w:val="center" w:pos="4680"/>
        <w:tab w:val="right" w:pos="9360"/>
      </w:tabs>
    </w:pPr>
  </w:style>
  <w:style w:type="character" w:customStyle="1" w:styleId="FooterChar">
    <w:name w:val="Footer Char"/>
    <w:basedOn w:val="DefaultParagraphFont"/>
    <w:link w:val="Footer"/>
    <w:uiPriority w:val="99"/>
    <w:rsid w:val="006C40DA"/>
    <w:rPr>
      <w:rFonts w:ascii="Times New Roman" w:eastAsia="Times New Roman" w:hAnsi="Times New Roman" w:cs="Times New Roman"/>
    </w:rPr>
  </w:style>
  <w:style w:type="character" w:customStyle="1" w:styleId="cf01">
    <w:name w:val="cf01"/>
    <w:basedOn w:val="DefaultParagraphFont"/>
    <w:rsid w:val="00055EBD"/>
    <w:rPr>
      <w:rFonts w:ascii="Segoe UI" w:hAnsi="Segoe UI" w:cs="Segoe UI" w:hint="default"/>
      <w:sz w:val="18"/>
      <w:szCs w:val="18"/>
    </w:rPr>
  </w:style>
  <w:style w:type="character" w:styleId="HTMLDefinition">
    <w:name w:val="HTML Definition"/>
    <w:basedOn w:val="DefaultParagraphFont"/>
    <w:uiPriority w:val="99"/>
    <w:semiHidden/>
    <w:unhideWhenUsed/>
    <w:rsid w:val="00D77D80"/>
    <w:rPr>
      <w:i/>
      <w:iCs/>
    </w:rPr>
  </w:style>
  <w:style w:type="character" w:customStyle="1" w:styleId="element-invisible">
    <w:name w:val="element-invisible"/>
    <w:basedOn w:val="DefaultParagraphFont"/>
    <w:rsid w:val="00D77D80"/>
  </w:style>
  <w:style w:type="character" w:styleId="Emphasis">
    <w:name w:val="Emphasis"/>
    <w:basedOn w:val="DefaultParagraphFont"/>
    <w:uiPriority w:val="20"/>
    <w:qFormat/>
    <w:rsid w:val="000265C6"/>
    <w:rPr>
      <w:i/>
      <w:iCs/>
    </w:rPr>
  </w:style>
  <w:style w:type="character" w:customStyle="1" w:styleId="text-no-wrap">
    <w:name w:val="text-no-wrap"/>
    <w:basedOn w:val="DefaultParagraphFont"/>
    <w:rsid w:val="00D04ECA"/>
  </w:style>
  <w:style w:type="character" w:styleId="Strong">
    <w:name w:val="Strong"/>
    <w:basedOn w:val="DefaultParagraphFont"/>
    <w:uiPriority w:val="22"/>
    <w:qFormat/>
    <w:rsid w:val="004D3DE5"/>
    <w:rPr>
      <w:b/>
      <w:bCs/>
    </w:rPr>
  </w:style>
  <w:style w:type="character" w:customStyle="1" w:styleId="coconcept122">
    <w:name w:val="co_concept_1_22"/>
    <w:basedOn w:val="DefaultParagraphFont"/>
    <w:rsid w:val="00CD195F"/>
  </w:style>
  <w:style w:type="character" w:customStyle="1" w:styleId="cosearchwithinterm">
    <w:name w:val="co_searchwithinterm"/>
    <w:basedOn w:val="DefaultParagraphFont"/>
    <w:rsid w:val="00DA56E7"/>
  </w:style>
  <w:style w:type="character" w:customStyle="1" w:styleId="cosearchterm">
    <w:name w:val="co_searchterm"/>
    <w:basedOn w:val="DefaultParagraphFont"/>
    <w:rsid w:val="00DA56E7"/>
  </w:style>
  <w:style w:type="character" w:customStyle="1" w:styleId="costarpage">
    <w:name w:val="co_starpage"/>
    <w:basedOn w:val="DefaultParagraphFont"/>
    <w:rsid w:val="00D8642F"/>
  </w:style>
  <w:style w:type="character" w:customStyle="1" w:styleId="Heading1Char">
    <w:name w:val="Heading 1 Char"/>
    <w:basedOn w:val="DefaultParagraphFont"/>
    <w:link w:val="Heading1"/>
    <w:uiPriority w:val="9"/>
    <w:rsid w:val="009D4784"/>
    <w:rPr>
      <w:rFonts w:ascii="Times New Roman" w:eastAsia="Times New Roman" w:hAnsi="Times New Roman" w:cs="Times New Roman"/>
      <w:b/>
      <w:bCs/>
    </w:rPr>
  </w:style>
  <w:style w:type="character" w:customStyle="1" w:styleId="Heading4Char">
    <w:name w:val="Heading 4 Char"/>
    <w:basedOn w:val="DefaultParagraphFont"/>
    <w:link w:val="Heading4"/>
    <w:uiPriority w:val="9"/>
    <w:rsid w:val="005204AC"/>
    <w:rPr>
      <w:rFonts w:ascii="Times New Roman" w:eastAsiaTheme="majorEastAsia" w:hAnsi="Times New Roman" w:cstheme="majorBidi"/>
      <w:b/>
      <w:iCs/>
      <w:color w:val="000000" w:themeColor="text1"/>
    </w:rPr>
  </w:style>
  <w:style w:type="character" w:customStyle="1" w:styleId="wysiwyg-color-red">
    <w:name w:val="wysiwyg-color-red"/>
    <w:basedOn w:val="DefaultParagraphFont"/>
    <w:rsid w:val="008B3361"/>
  </w:style>
  <w:style w:type="character" w:customStyle="1" w:styleId="Heading3Char">
    <w:name w:val="Heading 3 Char"/>
    <w:basedOn w:val="DefaultParagraphFont"/>
    <w:link w:val="Heading3"/>
    <w:uiPriority w:val="9"/>
    <w:rsid w:val="005204AC"/>
    <w:rPr>
      <w:rFonts w:ascii="Times New Roman" w:eastAsiaTheme="majorEastAsia" w:hAnsi="Times New Roman" w:cstheme="majorBidi"/>
      <w:b/>
      <w:color w:val="000000" w:themeColor="text1"/>
      <w:szCs w:val="24"/>
    </w:rPr>
  </w:style>
  <w:style w:type="character" w:customStyle="1" w:styleId="Heading2Char">
    <w:name w:val="Heading 2 Char"/>
    <w:basedOn w:val="DefaultParagraphFont"/>
    <w:link w:val="Heading2"/>
    <w:uiPriority w:val="9"/>
    <w:rsid w:val="00253B44"/>
    <w:rPr>
      <w:rFonts w:ascii="Times New Roman" w:eastAsiaTheme="majorEastAsia" w:hAnsi="Times New Roman" w:cstheme="majorBidi"/>
      <w:b/>
      <w:color w:val="000000" w:themeColor="text1"/>
      <w:szCs w:val="26"/>
    </w:rPr>
  </w:style>
  <w:style w:type="character" w:customStyle="1" w:styleId="BodyTextChar">
    <w:name w:val="Body Text Char"/>
    <w:basedOn w:val="DefaultParagraphFont"/>
    <w:link w:val="BodyText"/>
    <w:uiPriority w:val="1"/>
    <w:rsid w:val="00805812"/>
    <w:rPr>
      <w:rFonts w:ascii="Times New Roman" w:eastAsia="Times New Roman" w:hAnsi="Times New Roman" w:cs="Times New Roman"/>
    </w:rPr>
  </w:style>
  <w:style w:type="numbering" w:customStyle="1" w:styleId="CurrentList1">
    <w:name w:val="Current List1"/>
    <w:uiPriority w:val="99"/>
    <w:rsid w:val="005776DD"/>
    <w:pPr>
      <w:numPr>
        <w:numId w:val="36"/>
      </w:numPr>
    </w:pPr>
  </w:style>
  <w:style w:type="paragraph" w:styleId="TOCHeading">
    <w:name w:val="TOC Heading"/>
    <w:basedOn w:val="Heading1"/>
    <w:next w:val="Normal"/>
    <w:uiPriority w:val="39"/>
    <w:unhideWhenUsed/>
    <w:qFormat/>
    <w:rsid w:val="00E92219"/>
    <w:pPr>
      <w:keepNext/>
      <w:keepLines/>
      <w:widowControl/>
      <w:numPr>
        <w:numId w:val="0"/>
      </w:numPr>
      <w:autoSpaceDE/>
      <w:autoSpaceDN/>
      <w:spacing w:before="480" w:after="0" w:line="276" w:lineRule="auto"/>
      <w:outlineLvl w:val="9"/>
    </w:pPr>
    <w:rPr>
      <w:rFonts w:asciiTheme="majorHAnsi" w:eastAsiaTheme="majorEastAsia" w:hAnsiTheme="majorHAnsi" w:cstheme="majorBidi"/>
      <w:color w:val="365F91" w:themeColor="accent1" w:themeShade="BF"/>
      <w:sz w:val="28"/>
      <w:szCs w:val="28"/>
    </w:rPr>
  </w:style>
  <w:style w:type="paragraph" w:styleId="TOC4">
    <w:name w:val="toc 4"/>
    <w:basedOn w:val="Normal"/>
    <w:next w:val="Normal"/>
    <w:autoRedefine/>
    <w:uiPriority w:val="39"/>
    <w:semiHidden/>
    <w:unhideWhenUsed/>
    <w:rsid w:val="00E92219"/>
    <w:pPr>
      <w:ind w:left="660"/>
    </w:pPr>
    <w:rPr>
      <w:rFonts w:asciiTheme="minorHAnsi" w:hAnsiTheme="minorHAnsi" w:cstheme="minorHAnsi"/>
      <w:sz w:val="18"/>
      <w:szCs w:val="18"/>
    </w:rPr>
  </w:style>
  <w:style w:type="paragraph" w:styleId="TOC5">
    <w:name w:val="toc 5"/>
    <w:basedOn w:val="Normal"/>
    <w:next w:val="Normal"/>
    <w:autoRedefine/>
    <w:uiPriority w:val="39"/>
    <w:semiHidden/>
    <w:unhideWhenUsed/>
    <w:rsid w:val="00E92219"/>
    <w:pPr>
      <w:ind w:left="880"/>
    </w:pPr>
    <w:rPr>
      <w:rFonts w:asciiTheme="minorHAnsi" w:hAnsiTheme="minorHAnsi" w:cstheme="minorHAnsi"/>
      <w:sz w:val="18"/>
      <w:szCs w:val="18"/>
    </w:rPr>
  </w:style>
  <w:style w:type="paragraph" w:styleId="TOC6">
    <w:name w:val="toc 6"/>
    <w:basedOn w:val="Normal"/>
    <w:next w:val="Normal"/>
    <w:autoRedefine/>
    <w:uiPriority w:val="39"/>
    <w:semiHidden/>
    <w:unhideWhenUsed/>
    <w:rsid w:val="00E92219"/>
    <w:pPr>
      <w:ind w:left="1100"/>
    </w:pPr>
    <w:rPr>
      <w:rFonts w:asciiTheme="minorHAnsi" w:hAnsiTheme="minorHAnsi" w:cstheme="minorHAnsi"/>
      <w:sz w:val="18"/>
      <w:szCs w:val="18"/>
    </w:rPr>
  </w:style>
  <w:style w:type="paragraph" w:styleId="TOC7">
    <w:name w:val="toc 7"/>
    <w:basedOn w:val="Normal"/>
    <w:next w:val="Normal"/>
    <w:autoRedefine/>
    <w:uiPriority w:val="39"/>
    <w:semiHidden/>
    <w:unhideWhenUsed/>
    <w:rsid w:val="00E92219"/>
    <w:pPr>
      <w:ind w:left="1320"/>
    </w:pPr>
    <w:rPr>
      <w:rFonts w:asciiTheme="minorHAnsi" w:hAnsiTheme="minorHAnsi" w:cstheme="minorHAnsi"/>
      <w:sz w:val="18"/>
      <w:szCs w:val="18"/>
    </w:rPr>
  </w:style>
  <w:style w:type="paragraph" w:styleId="TOC8">
    <w:name w:val="toc 8"/>
    <w:basedOn w:val="Normal"/>
    <w:next w:val="Normal"/>
    <w:autoRedefine/>
    <w:uiPriority w:val="39"/>
    <w:semiHidden/>
    <w:unhideWhenUsed/>
    <w:rsid w:val="00E92219"/>
    <w:pPr>
      <w:ind w:left="1540"/>
    </w:pPr>
    <w:rPr>
      <w:rFonts w:asciiTheme="minorHAnsi" w:hAnsiTheme="minorHAnsi" w:cstheme="minorHAnsi"/>
      <w:sz w:val="18"/>
      <w:szCs w:val="18"/>
    </w:rPr>
  </w:style>
  <w:style w:type="paragraph" w:styleId="TOC9">
    <w:name w:val="toc 9"/>
    <w:basedOn w:val="Normal"/>
    <w:next w:val="Normal"/>
    <w:autoRedefine/>
    <w:uiPriority w:val="39"/>
    <w:semiHidden/>
    <w:unhideWhenUsed/>
    <w:rsid w:val="00E92219"/>
    <w:pPr>
      <w:ind w:left="1760"/>
    </w:pPr>
    <w:rPr>
      <w:rFonts w:asciiTheme="minorHAnsi" w:hAnsiTheme="minorHAnsi" w:cstheme="minorHAnsi"/>
      <w:sz w:val="18"/>
      <w:szCs w:val="18"/>
    </w:rPr>
  </w:style>
  <w:style w:type="character" w:customStyle="1" w:styleId="normaltextrun">
    <w:name w:val="normaltextrun"/>
    <w:basedOn w:val="DefaultParagraphFont"/>
    <w:rsid w:val="00A57329"/>
  </w:style>
  <w:style w:type="paragraph" w:customStyle="1" w:styleId="pf0">
    <w:name w:val="pf0"/>
    <w:basedOn w:val="Normal"/>
    <w:rsid w:val="00C379F4"/>
    <w:pPr>
      <w:widowControl/>
      <w:autoSpaceDE/>
      <w:autoSpaceDN/>
      <w:spacing w:before="100" w:beforeAutospacing="1" w:after="100" w:afterAutospacing="1"/>
    </w:pPr>
    <w:rPr>
      <w:sz w:val="24"/>
      <w:szCs w:val="24"/>
    </w:rPr>
  </w:style>
  <w:style w:type="character" w:customStyle="1" w:styleId="cf11">
    <w:name w:val="cf11"/>
    <w:basedOn w:val="DefaultParagraphFont"/>
    <w:rsid w:val="00E87E97"/>
    <w:rPr>
      <w:rFonts w:ascii="Segoe UI" w:hAnsi="Segoe UI" w:cs="Segoe UI" w:hint="default"/>
      <w:sz w:val="18"/>
      <w:szCs w:val="18"/>
      <w:shd w:val="clear" w:color="auto" w:fill="FFFFFF"/>
    </w:rPr>
  </w:style>
  <w:style w:type="paragraph" w:customStyle="1" w:styleId="xmsolistparagraph">
    <w:name w:val="x_msolistparagraph"/>
    <w:basedOn w:val="Normal"/>
    <w:rsid w:val="00866DEA"/>
    <w:pPr>
      <w:widowControl/>
      <w:ind w:left="1180" w:hanging="360"/>
    </w:pPr>
    <w:rPr>
      <w:rFonts w:eastAsiaTheme="minorHAnsi"/>
    </w:rPr>
  </w:style>
  <w:style w:type="character" w:customStyle="1" w:styleId="xxcontentpasted0">
    <w:name w:val="x_xcontentpasted0"/>
    <w:basedOn w:val="DefaultParagraphFont"/>
    <w:rsid w:val="00866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73974">
      <w:bodyDiv w:val="1"/>
      <w:marLeft w:val="0"/>
      <w:marRight w:val="0"/>
      <w:marTop w:val="0"/>
      <w:marBottom w:val="0"/>
      <w:divBdr>
        <w:top w:val="none" w:sz="0" w:space="0" w:color="auto"/>
        <w:left w:val="none" w:sz="0" w:space="0" w:color="auto"/>
        <w:bottom w:val="none" w:sz="0" w:space="0" w:color="auto"/>
        <w:right w:val="none" w:sz="0" w:space="0" w:color="auto"/>
      </w:divBdr>
    </w:div>
    <w:div w:id="70783335">
      <w:bodyDiv w:val="1"/>
      <w:marLeft w:val="0"/>
      <w:marRight w:val="0"/>
      <w:marTop w:val="0"/>
      <w:marBottom w:val="0"/>
      <w:divBdr>
        <w:top w:val="none" w:sz="0" w:space="0" w:color="auto"/>
        <w:left w:val="none" w:sz="0" w:space="0" w:color="auto"/>
        <w:bottom w:val="none" w:sz="0" w:space="0" w:color="auto"/>
        <w:right w:val="none" w:sz="0" w:space="0" w:color="auto"/>
      </w:divBdr>
    </w:div>
    <w:div w:id="94400018">
      <w:bodyDiv w:val="1"/>
      <w:marLeft w:val="0"/>
      <w:marRight w:val="0"/>
      <w:marTop w:val="0"/>
      <w:marBottom w:val="0"/>
      <w:divBdr>
        <w:top w:val="none" w:sz="0" w:space="0" w:color="auto"/>
        <w:left w:val="none" w:sz="0" w:space="0" w:color="auto"/>
        <w:bottom w:val="none" w:sz="0" w:space="0" w:color="auto"/>
        <w:right w:val="none" w:sz="0" w:space="0" w:color="auto"/>
      </w:divBdr>
    </w:div>
    <w:div w:id="96947485">
      <w:bodyDiv w:val="1"/>
      <w:marLeft w:val="0"/>
      <w:marRight w:val="0"/>
      <w:marTop w:val="0"/>
      <w:marBottom w:val="0"/>
      <w:divBdr>
        <w:top w:val="none" w:sz="0" w:space="0" w:color="auto"/>
        <w:left w:val="none" w:sz="0" w:space="0" w:color="auto"/>
        <w:bottom w:val="none" w:sz="0" w:space="0" w:color="auto"/>
        <w:right w:val="none" w:sz="0" w:space="0" w:color="auto"/>
      </w:divBdr>
    </w:div>
    <w:div w:id="100803196">
      <w:bodyDiv w:val="1"/>
      <w:marLeft w:val="0"/>
      <w:marRight w:val="0"/>
      <w:marTop w:val="0"/>
      <w:marBottom w:val="0"/>
      <w:divBdr>
        <w:top w:val="none" w:sz="0" w:space="0" w:color="auto"/>
        <w:left w:val="none" w:sz="0" w:space="0" w:color="auto"/>
        <w:bottom w:val="none" w:sz="0" w:space="0" w:color="auto"/>
        <w:right w:val="none" w:sz="0" w:space="0" w:color="auto"/>
      </w:divBdr>
    </w:div>
    <w:div w:id="111438897">
      <w:bodyDiv w:val="1"/>
      <w:marLeft w:val="0"/>
      <w:marRight w:val="0"/>
      <w:marTop w:val="0"/>
      <w:marBottom w:val="0"/>
      <w:divBdr>
        <w:top w:val="none" w:sz="0" w:space="0" w:color="auto"/>
        <w:left w:val="none" w:sz="0" w:space="0" w:color="auto"/>
        <w:bottom w:val="none" w:sz="0" w:space="0" w:color="auto"/>
        <w:right w:val="none" w:sz="0" w:space="0" w:color="auto"/>
      </w:divBdr>
    </w:div>
    <w:div w:id="120348679">
      <w:bodyDiv w:val="1"/>
      <w:marLeft w:val="0"/>
      <w:marRight w:val="0"/>
      <w:marTop w:val="0"/>
      <w:marBottom w:val="0"/>
      <w:divBdr>
        <w:top w:val="none" w:sz="0" w:space="0" w:color="auto"/>
        <w:left w:val="none" w:sz="0" w:space="0" w:color="auto"/>
        <w:bottom w:val="none" w:sz="0" w:space="0" w:color="auto"/>
        <w:right w:val="none" w:sz="0" w:space="0" w:color="auto"/>
      </w:divBdr>
    </w:div>
    <w:div w:id="179860186">
      <w:bodyDiv w:val="1"/>
      <w:marLeft w:val="0"/>
      <w:marRight w:val="0"/>
      <w:marTop w:val="0"/>
      <w:marBottom w:val="0"/>
      <w:divBdr>
        <w:top w:val="none" w:sz="0" w:space="0" w:color="auto"/>
        <w:left w:val="none" w:sz="0" w:space="0" w:color="auto"/>
        <w:bottom w:val="none" w:sz="0" w:space="0" w:color="auto"/>
        <w:right w:val="none" w:sz="0" w:space="0" w:color="auto"/>
      </w:divBdr>
    </w:div>
    <w:div w:id="278295096">
      <w:bodyDiv w:val="1"/>
      <w:marLeft w:val="0"/>
      <w:marRight w:val="0"/>
      <w:marTop w:val="0"/>
      <w:marBottom w:val="0"/>
      <w:divBdr>
        <w:top w:val="none" w:sz="0" w:space="0" w:color="auto"/>
        <w:left w:val="none" w:sz="0" w:space="0" w:color="auto"/>
        <w:bottom w:val="none" w:sz="0" w:space="0" w:color="auto"/>
        <w:right w:val="none" w:sz="0" w:space="0" w:color="auto"/>
      </w:divBdr>
    </w:div>
    <w:div w:id="285894389">
      <w:bodyDiv w:val="1"/>
      <w:marLeft w:val="0"/>
      <w:marRight w:val="0"/>
      <w:marTop w:val="0"/>
      <w:marBottom w:val="0"/>
      <w:divBdr>
        <w:top w:val="none" w:sz="0" w:space="0" w:color="auto"/>
        <w:left w:val="none" w:sz="0" w:space="0" w:color="auto"/>
        <w:bottom w:val="none" w:sz="0" w:space="0" w:color="auto"/>
        <w:right w:val="none" w:sz="0" w:space="0" w:color="auto"/>
      </w:divBdr>
    </w:div>
    <w:div w:id="331563364">
      <w:bodyDiv w:val="1"/>
      <w:marLeft w:val="0"/>
      <w:marRight w:val="0"/>
      <w:marTop w:val="0"/>
      <w:marBottom w:val="0"/>
      <w:divBdr>
        <w:top w:val="none" w:sz="0" w:space="0" w:color="auto"/>
        <w:left w:val="none" w:sz="0" w:space="0" w:color="auto"/>
        <w:bottom w:val="none" w:sz="0" w:space="0" w:color="auto"/>
        <w:right w:val="none" w:sz="0" w:space="0" w:color="auto"/>
      </w:divBdr>
    </w:div>
    <w:div w:id="340013270">
      <w:bodyDiv w:val="1"/>
      <w:marLeft w:val="0"/>
      <w:marRight w:val="0"/>
      <w:marTop w:val="0"/>
      <w:marBottom w:val="0"/>
      <w:divBdr>
        <w:top w:val="none" w:sz="0" w:space="0" w:color="auto"/>
        <w:left w:val="none" w:sz="0" w:space="0" w:color="auto"/>
        <w:bottom w:val="none" w:sz="0" w:space="0" w:color="auto"/>
        <w:right w:val="none" w:sz="0" w:space="0" w:color="auto"/>
      </w:divBdr>
    </w:div>
    <w:div w:id="434987281">
      <w:bodyDiv w:val="1"/>
      <w:marLeft w:val="0"/>
      <w:marRight w:val="0"/>
      <w:marTop w:val="0"/>
      <w:marBottom w:val="0"/>
      <w:divBdr>
        <w:top w:val="none" w:sz="0" w:space="0" w:color="auto"/>
        <w:left w:val="none" w:sz="0" w:space="0" w:color="auto"/>
        <w:bottom w:val="none" w:sz="0" w:space="0" w:color="auto"/>
        <w:right w:val="none" w:sz="0" w:space="0" w:color="auto"/>
      </w:divBdr>
      <w:divsChild>
        <w:div w:id="1973513980">
          <w:marLeft w:val="0"/>
          <w:marRight w:val="0"/>
          <w:marTop w:val="0"/>
          <w:marBottom w:val="0"/>
          <w:divBdr>
            <w:top w:val="none" w:sz="0" w:space="0" w:color="auto"/>
            <w:left w:val="none" w:sz="0" w:space="0" w:color="auto"/>
            <w:bottom w:val="none" w:sz="0" w:space="0" w:color="auto"/>
            <w:right w:val="none" w:sz="0" w:space="0" w:color="auto"/>
          </w:divBdr>
          <w:divsChild>
            <w:div w:id="1704986824">
              <w:marLeft w:val="0"/>
              <w:marRight w:val="0"/>
              <w:marTop w:val="0"/>
              <w:marBottom w:val="0"/>
              <w:divBdr>
                <w:top w:val="none" w:sz="0" w:space="0" w:color="auto"/>
                <w:left w:val="none" w:sz="0" w:space="0" w:color="auto"/>
                <w:bottom w:val="none" w:sz="0" w:space="0" w:color="auto"/>
                <w:right w:val="none" w:sz="0" w:space="0" w:color="auto"/>
              </w:divBdr>
              <w:divsChild>
                <w:div w:id="1505702091">
                  <w:marLeft w:val="0"/>
                  <w:marRight w:val="0"/>
                  <w:marTop w:val="0"/>
                  <w:marBottom w:val="0"/>
                  <w:divBdr>
                    <w:top w:val="none" w:sz="0" w:space="0" w:color="auto"/>
                    <w:left w:val="none" w:sz="0" w:space="0" w:color="auto"/>
                    <w:bottom w:val="none" w:sz="0" w:space="0" w:color="auto"/>
                    <w:right w:val="none" w:sz="0" w:space="0" w:color="auto"/>
                  </w:divBdr>
                  <w:divsChild>
                    <w:div w:id="1732577563">
                      <w:marLeft w:val="0"/>
                      <w:marRight w:val="0"/>
                      <w:marTop w:val="0"/>
                      <w:marBottom w:val="0"/>
                      <w:divBdr>
                        <w:top w:val="none" w:sz="0" w:space="0" w:color="auto"/>
                        <w:left w:val="none" w:sz="0" w:space="0" w:color="auto"/>
                        <w:bottom w:val="none" w:sz="0" w:space="0" w:color="auto"/>
                        <w:right w:val="none" w:sz="0" w:space="0" w:color="auto"/>
                      </w:divBdr>
                      <w:divsChild>
                        <w:div w:id="74260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856243">
          <w:marLeft w:val="0"/>
          <w:marRight w:val="0"/>
          <w:marTop w:val="0"/>
          <w:marBottom w:val="0"/>
          <w:divBdr>
            <w:top w:val="none" w:sz="0" w:space="0" w:color="auto"/>
            <w:left w:val="none" w:sz="0" w:space="0" w:color="auto"/>
            <w:bottom w:val="none" w:sz="0" w:space="0" w:color="auto"/>
            <w:right w:val="none" w:sz="0" w:space="0" w:color="auto"/>
          </w:divBdr>
        </w:div>
      </w:divsChild>
    </w:div>
    <w:div w:id="436217212">
      <w:bodyDiv w:val="1"/>
      <w:marLeft w:val="0"/>
      <w:marRight w:val="0"/>
      <w:marTop w:val="0"/>
      <w:marBottom w:val="0"/>
      <w:divBdr>
        <w:top w:val="none" w:sz="0" w:space="0" w:color="auto"/>
        <w:left w:val="none" w:sz="0" w:space="0" w:color="auto"/>
        <w:bottom w:val="none" w:sz="0" w:space="0" w:color="auto"/>
        <w:right w:val="none" w:sz="0" w:space="0" w:color="auto"/>
      </w:divBdr>
    </w:div>
    <w:div w:id="520122212">
      <w:bodyDiv w:val="1"/>
      <w:marLeft w:val="0"/>
      <w:marRight w:val="0"/>
      <w:marTop w:val="0"/>
      <w:marBottom w:val="0"/>
      <w:divBdr>
        <w:top w:val="none" w:sz="0" w:space="0" w:color="auto"/>
        <w:left w:val="none" w:sz="0" w:space="0" w:color="auto"/>
        <w:bottom w:val="none" w:sz="0" w:space="0" w:color="auto"/>
        <w:right w:val="none" w:sz="0" w:space="0" w:color="auto"/>
      </w:divBdr>
    </w:div>
    <w:div w:id="535780161">
      <w:bodyDiv w:val="1"/>
      <w:marLeft w:val="0"/>
      <w:marRight w:val="0"/>
      <w:marTop w:val="0"/>
      <w:marBottom w:val="0"/>
      <w:divBdr>
        <w:top w:val="none" w:sz="0" w:space="0" w:color="auto"/>
        <w:left w:val="none" w:sz="0" w:space="0" w:color="auto"/>
        <w:bottom w:val="none" w:sz="0" w:space="0" w:color="auto"/>
        <w:right w:val="none" w:sz="0" w:space="0" w:color="auto"/>
      </w:divBdr>
    </w:div>
    <w:div w:id="536894964">
      <w:bodyDiv w:val="1"/>
      <w:marLeft w:val="0"/>
      <w:marRight w:val="0"/>
      <w:marTop w:val="0"/>
      <w:marBottom w:val="0"/>
      <w:divBdr>
        <w:top w:val="none" w:sz="0" w:space="0" w:color="auto"/>
        <w:left w:val="none" w:sz="0" w:space="0" w:color="auto"/>
        <w:bottom w:val="none" w:sz="0" w:space="0" w:color="auto"/>
        <w:right w:val="none" w:sz="0" w:space="0" w:color="auto"/>
      </w:divBdr>
    </w:div>
    <w:div w:id="539322754">
      <w:bodyDiv w:val="1"/>
      <w:marLeft w:val="0"/>
      <w:marRight w:val="0"/>
      <w:marTop w:val="0"/>
      <w:marBottom w:val="0"/>
      <w:divBdr>
        <w:top w:val="none" w:sz="0" w:space="0" w:color="auto"/>
        <w:left w:val="none" w:sz="0" w:space="0" w:color="auto"/>
        <w:bottom w:val="none" w:sz="0" w:space="0" w:color="auto"/>
        <w:right w:val="none" w:sz="0" w:space="0" w:color="auto"/>
      </w:divBdr>
    </w:div>
    <w:div w:id="544559007">
      <w:bodyDiv w:val="1"/>
      <w:marLeft w:val="0"/>
      <w:marRight w:val="0"/>
      <w:marTop w:val="0"/>
      <w:marBottom w:val="0"/>
      <w:divBdr>
        <w:top w:val="none" w:sz="0" w:space="0" w:color="auto"/>
        <w:left w:val="none" w:sz="0" w:space="0" w:color="auto"/>
        <w:bottom w:val="none" w:sz="0" w:space="0" w:color="auto"/>
        <w:right w:val="none" w:sz="0" w:space="0" w:color="auto"/>
      </w:divBdr>
    </w:div>
    <w:div w:id="544608160">
      <w:bodyDiv w:val="1"/>
      <w:marLeft w:val="0"/>
      <w:marRight w:val="0"/>
      <w:marTop w:val="0"/>
      <w:marBottom w:val="0"/>
      <w:divBdr>
        <w:top w:val="none" w:sz="0" w:space="0" w:color="auto"/>
        <w:left w:val="none" w:sz="0" w:space="0" w:color="auto"/>
        <w:bottom w:val="none" w:sz="0" w:space="0" w:color="auto"/>
        <w:right w:val="none" w:sz="0" w:space="0" w:color="auto"/>
      </w:divBdr>
    </w:div>
    <w:div w:id="561133503">
      <w:bodyDiv w:val="1"/>
      <w:marLeft w:val="0"/>
      <w:marRight w:val="0"/>
      <w:marTop w:val="0"/>
      <w:marBottom w:val="0"/>
      <w:divBdr>
        <w:top w:val="none" w:sz="0" w:space="0" w:color="auto"/>
        <w:left w:val="none" w:sz="0" w:space="0" w:color="auto"/>
        <w:bottom w:val="none" w:sz="0" w:space="0" w:color="auto"/>
        <w:right w:val="none" w:sz="0" w:space="0" w:color="auto"/>
      </w:divBdr>
    </w:div>
    <w:div w:id="587928223">
      <w:bodyDiv w:val="1"/>
      <w:marLeft w:val="0"/>
      <w:marRight w:val="0"/>
      <w:marTop w:val="0"/>
      <w:marBottom w:val="0"/>
      <w:divBdr>
        <w:top w:val="none" w:sz="0" w:space="0" w:color="auto"/>
        <w:left w:val="none" w:sz="0" w:space="0" w:color="auto"/>
        <w:bottom w:val="none" w:sz="0" w:space="0" w:color="auto"/>
        <w:right w:val="none" w:sz="0" w:space="0" w:color="auto"/>
      </w:divBdr>
    </w:div>
    <w:div w:id="589390269">
      <w:bodyDiv w:val="1"/>
      <w:marLeft w:val="0"/>
      <w:marRight w:val="0"/>
      <w:marTop w:val="0"/>
      <w:marBottom w:val="0"/>
      <w:divBdr>
        <w:top w:val="none" w:sz="0" w:space="0" w:color="auto"/>
        <w:left w:val="none" w:sz="0" w:space="0" w:color="auto"/>
        <w:bottom w:val="none" w:sz="0" w:space="0" w:color="auto"/>
        <w:right w:val="none" w:sz="0" w:space="0" w:color="auto"/>
      </w:divBdr>
    </w:div>
    <w:div w:id="605311126">
      <w:bodyDiv w:val="1"/>
      <w:marLeft w:val="0"/>
      <w:marRight w:val="0"/>
      <w:marTop w:val="0"/>
      <w:marBottom w:val="0"/>
      <w:divBdr>
        <w:top w:val="none" w:sz="0" w:space="0" w:color="auto"/>
        <w:left w:val="none" w:sz="0" w:space="0" w:color="auto"/>
        <w:bottom w:val="none" w:sz="0" w:space="0" w:color="auto"/>
        <w:right w:val="none" w:sz="0" w:space="0" w:color="auto"/>
      </w:divBdr>
    </w:div>
    <w:div w:id="606428150">
      <w:bodyDiv w:val="1"/>
      <w:marLeft w:val="0"/>
      <w:marRight w:val="0"/>
      <w:marTop w:val="0"/>
      <w:marBottom w:val="0"/>
      <w:divBdr>
        <w:top w:val="none" w:sz="0" w:space="0" w:color="auto"/>
        <w:left w:val="none" w:sz="0" w:space="0" w:color="auto"/>
        <w:bottom w:val="none" w:sz="0" w:space="0" w:color="auto"/>
        <w:right w:val="none" w:sz="0" w:space="0" w:color="auto"/>
      </w:divBdr>
      <w:divsChild>
        <w:div w:id="1021783372">
          <w:marLeft w:val="0"/>
          <w:marRight w:val="0"/>
          <w:marTop w:val="0"/>
          <w:marBottom w:val="0"/>
          <w:divBdr>
            <w:top w:val="none" w:sz="0" w:space="0" w:color="auto"/>
            <w:left w:val="none" w:sz="0" w:space="0" w:color="auto"/>
            <w:bottom w:val="none" w:sz="0" w:space="0" w:color="auto"/>
            <w:right w:val="none" w:sz="0" w:space="0" w:color="auto"/>
          </w:divBdr>
        </w:div>
        <w:div w:id="1413697129">
          <w:marLeft w:val="0"/>
          <w:marRight w:val="0"/>
          <w:marTop w:val="0"/>
          <w:marBottom w:val="0"/>
          <w:divBdr>
            <w:top w:val="none" w:sz="0" w:space="0" w:color="auto"/>
            <w:left w:val="none" w:sz="0" w:space="0" w:color="auto"/>
            <w:bottom w:val="none" w:sz="0" w:space="0" w:color="auto"/>
            <w:right w:val="none" w:sz="0" w:space="0" w:color="auto"/>
          </w:divBdr>
        </w:div>
        <w:div w:id="798887949">
          <w:marLeft w:val="0"/>
          <w:marRight w:val="0"/>
          <w:marTop w:val="0"/>
          <w:marBottom w:val="0"/>
          <w:divBdr>
            <w:top w:val="none" w:sz="0" w:space="0" w:color="auto"/>
            <w:left w:val="none" w:sz="0" w:space="0" w:color="auto"/>
            <w:bottom w:val="none" w:sz="0" w:space="0" w:color="auto"/>
            <w:right w:val="none" w:sz="0" w:space="0" w:color="auto"/>
          </w:divBdr>
        </w:div>
        <w:div w:id="1173689643">
          <w:marLeft w:val="0"/>
          <w:marRight w:val="0"/>
          <w:marTop w:val="0"/>
          <w:marBottom w:val="0"/>
          <w:divBdr>
            <w:top w:val="none" w:sz="0" w:space="0" w:color="auto"/>
            <w:left w:val="none" w:sz="0" w:space="0" w:color="auto"/>
            <w:bottom w:val="none" w:sz="0" w:space="0" w:color="auto"/>
            <w:right w:val="none" w:sz="0" w:space="0" w:color="auto"/>
          </w:divBdr>
        </w:div>
      </w:divsChild>
    </w:div>
    <w:div w:id="762800589">
      <w:bodyDiv w:val="1"/>
      <w:marLeft w:val="0"/>
      <w:marRight w:val="0"/>
      <w:marTop w:val="0"/>
      <w:marBottom w:val="0"/>
      <w:divBdr>
        <w:top w:val="none" w:sz="0" w:space="0" w:color="auto"/>
        <w:left w:val="none" w:sz="0" w:space="0" w:color="auto"/>
        <w:bottom w:val="none" w:sz="0" w:space="0" w:color="auto"/>
        <w:right w:val="none" w:sz="0" w:space="0" w:color="auto"/>
      </w:divBdr>
    </w:div>
    <w:div w:id="842935652">
      <w:bodyDiv w:val="1"/>
      <w:marLeft w:val="0"/>
      <w:marRight w:val="0"/>
      <w:marTop w:val="0"/>
      <w:marBottom w:val="0"/>
      <w:divBdr>
        <w:top w:val="none" w:sz="0" w:space="0" w:color="auto"/>
        <w:left w:val="none" w:sz="0" w:space="0" w:color="auto"/>
        <w:bottom w:val="none" w:sz="0" w:space="0" w:color="auto"/>
        <w:right w:val="none" w:sz="0" w:space="0" w:color="auto"/>
      </w:divBdr>
    </w:div>
    <w:div w:id="867841185">
      <w:bodyDiv w:val="1"/>
      <w:marLeft w:val="0"/>
      <w:marRight w:val="0"/>
      <w:marTop w:val="0"/>
      <w:marBottom w:val="0"/>
      <w:divBdr>
        <w:top w:val="none" w:sz="0" w:space="0" w:color="auto"/>
        <w:left w:val="none" w:sz="0" w:space="0" w:color="auto"/>
        <w:bottom w:val="none" w:sz="0" w:space="0" w:color="auto"/>
        <w:right w:val="none" w:sz="0" w:space="0" w:color="auto"/>
      </w:divBdr>
    </w:div>
    <w:div w:id="867911111">
      <w:bodyDiv w:val="1"/>
      <w:marLeft w:val="0"/>
      <w:marRight w:val="0"/>
      <w:marTop w:val="0"/>
      <w:marBottom w:val="0"/>
      <w:divBdr>
        <w:top w:val="none" w:sz="0" w:space="0" w:color="auto"/>
        <w:left w:val="none" w:sz="0" w:space="0" w:color="auto"/>
        <w:bottom w:val="none" w:sz="0" w:space="0" w:color="auto"/>
        <w:right w:val="none" w:sz="0" w:space="0" w:color="auto"/>
      </w:divBdr>
    </w:div>
    <w:div w:id="893811597">
      <w:bodyDiv w:val="1"/>
      <w:marLeft w:val="0"/>
      <w:marRight w:val="0"/>
      <w:marTop w:val="0"/>
      <w:marBottom w:val="0"/>
      <w:divBdr>
        <w:top w:val="none" w:sz="0" w:space="0" w:color="auto"/>
        <w:left w:val="none" w:sz="0" w:space="0" w:color="auto"/>
        <w:bottom w:val="none" w:sz="0" w:space="0" w:color="auto"/>
        <w:right w:val="none" w:sz="0" w:space="0" w:color="auto"/>
      </w:divBdr>
    </w:div>
    <w:div w:id="949551903">
      <w:bodyDiv w:val="1"/>
      <w:marLeft w:val="0"/>
      <w:marRight w:val="0"/>
      <w:marTop w:val="0"/>
      <w:marBottom w:val="0"/>
      <w:divBdr>
        <w:top w:val="none" w:sz="0" w:space="0" w:color="auto"/>
        <w:left w:val="none" w:sz="0" w:space="0" w:color="auto"/>
        <w:bottom w:val="none" w:sz="0" w:space="0" w:color="auto"/>
        <w:right w:val="none" w:sz="0" w:space="0" w:color="auto"/>
      </w:divBdr>
    </w:div>
    <w:div w:id="966280944">
      <w:bodyDiv w:val="1"/>
      <w:marLeft w:val="0"/>
      <w:marRight w:val="0"/>
      <w:marTop w:val="0"/>
      <w:marBottom w:val="0"/>
      <w:divBdr>
        <w:top w:val="none" w:sz="0" w:space="0" w:color="auto"/>
        <w:left w:val="none" w:sz="0" w:space="0" w:color="auto"/>
        <w:bottom w:val="none" w:sz="0" w:space="0" w:color="auto"/>
        <w:right w:val="none" w:sz="0" w:space="0" w:color="auto"/>
      </w:divBdr>
    </w:div>
    <w:div w:id="1022321081">
      <w:bodyDiv w:val="1"/>
      <w:marLeft w:val="0"/>
      <w:marRight w:val="0"/>
      <w:marTop w:val="0"/>
      <w:marBottom w:val="0"/>
      <w:divBdr>
        <w:top w:val="none" w:sz="0" w:space="0" w:color="auto"/>
        <w:left w:val="none" w:sz="0" w:space="0" w:color="auto"/>
        <w:bottom w:val="none" w:sz="0" w:space="0" w:color="auto"/>
        <w:right w:val="none" w:sz="0" w:space="0" w:color="auto"/>
      </w:divBdr>
    </w:div>
    <w:div w:id="1033963117">
      <w:bodyDiv w:val="1"/>
      <w:marLeft w:val="0"/>
      <w:marRight w:val="0"/>
      <w:marTop w:val="0"/>
      <w:marBottom w:val="0"/>
      <w:divBdr>
        <w:top w:val="none" w:sz="0" w:space="0" w:color="auto"/>
        <w:left w:val="none" w:sz="0" w:space="0" w:color="auto"/>
        <w:bottom w:val="none" w:sz="0" w:space="0" w:color="auto"/>
        <w:right w:val="none" w:sz="0" w:space="0" w:color="auto"/>
      </w:divBdr>
    </w:div>
    <w:div w:id="1077357784">
      <w:bodyDiv w:val="1"/>
      <w:marLeft w:val="0"/>
      <w:marRight w:val="0"/>
      <w:marTop w:val="0"/>
      <w:marBottom w:val="0"/>
      <w:divBdr>
        <w:top w:val="none" w:sz="0" w:space="0" w:color="auto"/>
        <w:left w:val="none" w:sz="0" w:space="0" w:color="auto"/>
        <w:bottom w:val="none" w:sz="0" w:space="0" w:color="auto"/>
        <w:right w:val="none" w:sz="0" w:space="0" w:color="auto"/>
      </w:divBdr>
    </w:div>
    <w:div w:id="1088233108">
      <w:bodyDiv w:val="1"/>
      <w:marLeft w:val="0"/>
      <w:marRight w:val="0"/>
      <w:marTop w:val="0"/>
      <w:marBottom w:val="0"/>
      <w:divBdr>
        <w:top w:val="none" w:sz="0" w:space="0" w:color="auto"/>
        <w:left w:val="none" w:sz="0" w:space="0" w:color="auto"/>
        <w:bottom w:val="none" w:sz="0" w:space="0" w:color="auto"/>
        <w:right w:val="none" w:sz="0" w:space="0" w:color="auto"/>
      </w:divBdr>
    </w:div>
    <w:div w:id="1148396040">
      <w:bodyDiv w:val="1"/>
      <w:marLeft w:val="0"/>
      <w:marRight w:val="0"/>
      <w:marTop w:val="0"/>
      <w:marBottom w:val="0"/>
      <w:divBdr>
        <w:top w:val="none" w:sz="0" w:space="0" w:color="auto"/>
        <w:left w:val="none" w:sz="0" w:space="0" w:color="auto"/>
        <w:bottom w:val="none" w:sz="0" w:space="0" w:color="auto"/>
        <w:right w:val="none" w:sz="0" w:space="0" w:color="auto"/>
      </w:divBdr>
    </w:div>
    <w:div w:id="1185902539">
      <w:bodyDiv w:val="1"/>
      <w:marLeft w:val="0"/>
      <w:marRight w:val="0"/>
      <w:marTop w:val="0"/>
      <w:marBottom w:val="0"/>
      <w:divBdr>
        <w:top w:val="none" w:sz="0" w:space="0" w:color="auto"/>
        <w:left w:val="none" w:sz="0" w:space="0" w:color="auto"/>
        <w:bottom w:val="none" w:sz="0" w:space="0" w:color="auto"/>
        <w:right w:val="none" w:sz="0" w:space="0" w:color="auto"/>
      </w:divBdr>
    </w:div>
    <w:div w:id="1257325853">
      <w:bodyDiv w:val="1"/>
      <w:marLeft w:val="0"/>
      <w:marRight w:val="0"/>
      <w:marTop w:val="0"/>
      <w:marBottom w:val="0"/>
      <w:divBdr>
        <w:top w:val="none" w:sz="0" w:space="0" w:color="auto"/>
        <w:left w:val="none" w:sz="0" w:space="0" w:color="auto"/>
        <w:bottom w:val="none" w:sz="0" w:space="0" w:color="auto"/>
        <w:right w:val="none" w:sz="0" w:space="0" w:color="auto"/>
      </w:divBdr>
    </w:div>
    <w:div w:id="1296177011">
      <w:bodyDiv w:val="1"/>
      <w:marLeft w:val="0"/>
      <w:marRight w:val="0"/>
      <w:marTop w:val="0"/>
      <w:marBottom w:val="0"/>
      <w:divBdr>
        <w:top w:val="none" w:sz="0" w:space="0" w:color="auto"/>
        <w:left w:val="none" w:sz="0" w:space="0" w:color="auto"/>
        <w:bottom w:val="none" w:sz="0" w:space="0" w:color="auto"/>
        <w:right w:val="none" w:sz="0" w:space="0" w:color="auto"/>
      </w:divBdr>
    </w:div>
    <w:div w:id="1316184771">
      <w:bodyDiv w:val="1"/>
      <w:marLeft w:val="0"/>
      <w:marRight w:val="0"/>
      <w:marTop w:val="0"/>
      <w:marBottom w:val="0"/>
      <w:divBdr>
        <w:top w:val="none" w:sz="0" w:space="0" w:color="auto"/>
        <w:left w:val="none" w:sz="0" w:space="0" w:color="auto"/>
        <w:bottom w:val="none" w:sz="0" w:space="0" w:color="auto"/>
        <w:right w:val="none" w:sz="0" w:space="0" w:color="auto"/>
      </w:divBdr>
    </w:div>
    <w:div w:id="1373725210">
      <w:bodyDiv w:val="1"/>
      <w:marLeft w:val="0"/>
      <w:marRight w:val="0"/>
      <w:marTop w:val="0"/>
      <w:marBottom w:val="0"/>
      <w:divBdr>
        <w:top w:val="none" w:sz="0" w:space="0" w:color="auto"/>
        <w:left w:val="none" w:sz="0" w:space="0" w:color="auto"/>
        <w:bottom w:val="none" w:sz="0" w:space="0" w:color="auto"/>
        <w:right w:val="none" w:sz="0" w:space="0" w:color="auto"/>
      </w:divBdr>
    </w:div>
    <w:div w:id="1395742099">
      <w:bodyDiv w:val="1"/>
      <w:marLeft w:val="0"/>
      <w:marRight w:val="0"/>
      <w:marTop w:val="0"/>
      <w:marBottom w:val="0"/>
      <w:divBdr>
        <w:top w:val="none" w:sz="0" w:space="0" w:color="auto"/>
        <w:left w:val="none" w:sz="0" w:space="0" w:color="auto"/>
        <w:bottom w:val="none" w:sz="0" w:space="0" w:color="auto"/>
        <w:right w:val="none" w:sz="0" w:space="0" w:color="auto"/>
      </w:divBdr>
    </w:div>
    <w:div w:id="1436440920">
      <w:bodyDiv w:val="1"/>
      <w:marLeft w:val="0"/>
      <w:marRight w:val="0"/>
      <w:marTop w:val="0"/>
      <w:marBottom w:val="0"/>
      <w:divBdr>
        <w:top w:val="none" w:sz="0" w:space="0" w:color="auto"/>
        <w:left w:val="none" w:sz="0" w:space="0" w:color="auto"/>
        <w:bottom w:val="none" w:sz="0" w:space="0" w:color="auto"/>
        <w:right w:val="none" w:sz="0" w:space="0" w:color="auto"/>
      </w:divBdr>
    </w:div>
    <w:div w:id="1476026914">
      <w:bodyDiv w:val="1"/>
      <w:marLeft w:val="0"/>
      <w:marRight w:val="0"/>
      <w:marTop w:val="0"/>
      <w:marBottom w:val="0"/>
      <w:divBdr>
        <w:top w:val="none" w:sz="0" w:space="0" w:color="auto"/>
        <w:left w:val="none" w:sz="0" w:space="0" w:color="auto"/>
        <w:bottom w:val="none" w:sz="0" w:space="0" w:color="auto"/>
        <w:right w:val="none" w:sz="0" w:space="0" w:color="auto"/>
      </w:divBdr>
    </w:div>
    <w:div w:id="1484275640">
      <w:bodyDiv w:val="1"/>
      <w:marLeft w:val="0"/>
      <w:marRight w:val="0"/>
      <w:marTop w:val="0"/>
      <w:marBottom w:val="0"/>
      <w:divBdr>
        <w:top w:val="none" w:sz="0" w:space="0" w:color="auto"/>
        <w:left w:val="none" w:sz="0" w:space="0" w:color="auto"/>
        <w:bottom w:val="none" w:sz="0" w:space="0" w:color="auto"/>
        <w:right w:val="none" w:sz="0" w:space="0" w:color="auto"/>
      </w:divBdr>
    </w:div>
    <w:div w:id="1535270830">
      <w:bodyDiv w:val="1"/>
      <w:marLeft w:val="0"/>
      <w:marRight w:val="0"/>
      <w:marTop w:val="0"/>
      <w:marBottom w:val="0"/>
      <w:divBdr>
        <w:top w:val="none" w:sz="0" w:space="0" w:color="auto"/>
        <w:left w:val="none" w:sz="0" w:space="0" w:color="auto"/>
        <w:bottom w:val="none" w:sz="0" w:space="0" w:color="auto"/>
        <w:right w:val="none" w:sz="0" w:space="0" w:color="auto"/>
      </w:divBdr>
    </w:div>
    <w:div w:id="1536238540">
      <w:bodyDiv w:val="1"/>
      <w:marLeft w:val="0"/>
      <w:marRight w:val="0"/>
      <w:marTop w:val="0"/>
      <w:marBottom w:val="0"/>
      <w:divBdr>
        <w:top w:val="none" w:sz="0" w:space="0" w:color="auto"/>
        <w:left w:val="none" w:sz="0" w:space="0" w:color="auto"/>
        <w:bottom w:val="none" w:sz="0" w:space="0" w:color="auto"/>
        <w:right w:val="none" w:sz="0" w:space="0" w:color="auto"/>
      </w:divBdr>
    </w:div>
    <w:div w:id="1556501645">
      <w:bodyDiv w:val="1"/>
      <w:marLeft w:val="0"/>
      <w:marRight w:val="0"/>
      <w:marTop w:val="0"/>
      <w:marBottom w:val="0"/>
      <w:divBdr>
        <w:top w:val="none" w:sz="0" w:space="0" w:color="auto"/>
        <w:left w:val="none" w:sz="0" w:space="0" w:color="auto"/>
        <w:bottom w:val="none" w:sz="0" w:space="0" w:color="auto"/>
        <w:right w:val="none" w:sz="0" w:space="0" w:color="auto"/>
      </w:divBdr>
    </w:div>
    <w:div w:id="1591085104">
      <w:bodyDiv w:val="1"/>
      <w:marLeft w:val="0"/>
      <w:marRight w:val="0"/>
      <w:marTop w:val="0"/>
      <w:marBottom w:val="0"/>
      <w:divBdr>
        <w:top w:val="none" w:sz="0" w:space="0" w:color="auto"/>
        <w:left w:val="none" w:sz="0" w:space="0" w:color="auto"/>
        <w:bottom w:val="none" w:sz="0" w:space="0" w:color="auto"/>
        <w:right w:val="none" w:sz="0" w:space="0" w:color="auto"/>
      </w:divBdr>
    </w:div>
    <w:div w:id="1760178162">
      <w:bodyDiv w:val="1"/>
      <w:marLeft w:val="0"/>
      <w:marRight w:val="0"/>
      <w:marTop w:val="0"/>
      <w:marBottom w:val="0"/>
      <w:divBdr>
        <w:top w:val="none" w:sz="0" w:space="0" w:color="auto"/>
        <w:left w:val="none" w:sz="0" w:space="0" w:color="auto"/>
        <w:bottom w:val="none" w:sz="0" w:space="0" w:color="auto"/>
        <w:right w:val="none" w:sz="0" w:space="0" w:color="auto"/>
      </w:divBdr>
    </w:div>
    <w:div w:id="1760641548">
      <w:bodyDiv w:val="1"/>
      <w:marLeft w:val="0"/>
      <w:marRight w:val="0"/>
      <w:marTop w:val="0"/>
      <w:marBottom w:val="0"/>
      <w:divBdr>
        <w:top w:val="none" w:sz="0" w:space="0" w:color="auto"/>
        <w:left w:val="none" w:sz="0" w:space="0" w:color="auto"/>
        <w:bottom w:val="none" w:sz="0" w:space="0" w:color="auto"/>
        <w:right w:val="none" w:sz="0" w:space="0" w:color="auto"/>
      </w:divBdr>
    </w:div>
    <w:div w:id="1765489673">
      <w:bodyDiv w:val="1"/>
      <w:marLeft w:val="0"/>
      <w:marRight w:val="0"/>
      <w:marTop w:val="0"/>
      <w:marBottom w:val="0"/>
      <w:divBdr>
        <w:top w:val="none" w:sz="0" w:space="0" w:color="auto"/>
        <w:left w:val="none" w:sz="0" w:space="0" w:color="auto"/>
        <w:bottom w:val="none" w:sz="0" w:space="0" w:color="auto"/>
        <w:right w:val="none" w:sz="0" w:space="0" w:color="auto"/>
      </w:divBdr>
    </w:div>
    <w:div w:id="1870338386">
      <w:bodyDiv w:val="1"/>
      <w:marLeft w:val="0"/>
      <w:marRight w:val="0"/>
      <w:marTop w:val="0"/>
      <w:marBottom w:val="0"/>
      <w:divBdr>
        <w:top w:val="none" w:sz="0" w:space="0" w:color="auto"/>
        <w:left w:val="none" w:sz="0" w:space="0" w:color="auto"/>
        <w:bottom w:val="none" w:sz="0" w:space="0" w:color="auto"/>
        <w:right w:val="none" w:sz="0" w:space="0" w:color="auto"/>
      </w:divBdr>
    </w:div>
    <w:div w:id="1926457477">
      <w:bodyDiv w:val="1"/>
      <w:marLeft w:val="0"/>
      <w:marRight w:val="0"/>
      <w:marTop w:val="0"/>
      <w:marBottom w:val="0"/>
      <w:divBdr>
        <w:top w:val="none" w:sz="0" w:space="0" w:color="auto"/>
        <w:left w:val="none" w:sz="0" w:space="0" w:color="auto"/>
        <w:bottom w:val="none" w:sz="0" w:space="0" w:color="auto"/>
        <w:right w:val="none" w:sz="0" w:space="0" w:color="auto"/>
      </w:divBdr>
    </w:div>
    <w:div w:id="1934169621">
      <w:bodyDiv w:val="1"/>
      <w:marLeft w:val="0"/>
      <w:marRight w:val="0"/>
      <w:marTop w:val="0"/>
      <w:marBottom w:val="0"/>
      <w:divBdr>
        <w:top w:val="none" w:sz="0" w:space="0" w:color="auto"/>
        <w:left w:val="none" w:sz="0" w:space="0" w:color="auto"/>
        <w:bottom w:val="none" w:sz="0" w:space="0" w:color="auto"/>
        <w:right w:val="none" w:sz="0" w:space="0" w:color="auto"/>
      </w:divBdr>
    </w:div>
    <w:div w:id="2004385372">
      <w:bodyDiv w:val="1"/>
      <w:marLeft w:val="0"/>
      <w:marRight w:val="0"/>
      <w:marTop w:val="0"/>
      <w:marBottom w:val="0"/>
      <w:divBdr>
        <w:top w:val="none" w:sz="0" w:space="0" w:color="auto"/>
        <w:left w:val="none" w:sz="0" w:space="0" w:color="auto"/>
        <w:bottom w:val="none" w:sz="0" w:space="0" w:color="auto"/>
        <w:right w:val="none" w:sz="0" w:space="0" w:color="auto"/>
      </w:divBdr>
    </w:div>
    <w:div w:id="20732373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ltexsoft.com/blog/engineering/what-is-api-definition-types-specifications-documenta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uralhealthinfo.org/topics/rural-tribal-health"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oi.org/10.2196/humanfactors.352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doi.org/10.1159/000494365"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ltexsoft.com/blog/healthcare-interoperability-rules/"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s://www.youtube.com/watch?v=vb7vIORyH54&amp;t" TargetMode="External"/><Relationship Id="rId21" Type="http://schemas.openxmlformats.org/officeDocument/2006/relationships/hyperlink" Target="https://help.bdc.fcc.gov/hc/en-us/articles/5375384069659-What-is-the-Location-Fabric-" TargetMode="External"/><Relationship Id="rId42" Type="http://schemas.openxmlformats.org/officeDocument/2006/relationships/hyperlink" Target="https://telehealth.hhs.gov/providers/health-equity-in-telehealth/improving-access-to-telehealth/%23telehealth-for-people-with-disabilities" TargetMode="External"/><Relationship Id="rId47" Type="http://schemas.openxmlformats.org/officeDocument/2006/relationships/hyperlink" Target="https://healthitsecurity.com/news/covid-19-cyber-threats-hackers-target-dns-routers-remote-work" TargetMode="External"/><Relationship Id="rId63" Type="http://schemas.openxmlformats.org/officeDocument/2006/relationships/hyperlink" Target="https://rules.house.gov/sites/democrats.rules.house.gov/files/BILLS-117HR2471SA-RCP-117-35.pdf" TargetMode="External"/><Relationship Id="rId68" Type="http://schemas.openxmlformats.org/officeDocument/2006/relationships/hyperlink" Target="https://www.theatlantic.com/health/archive/2021/09/america-prepared-next-pandemic/620238" TargetMode="External"/><Relationship Id="rId16" Type="http://schemas.openxmlformats.org/officeDocument/2006/relationships/hyperlink" Target="https://www.fcc.gov/lifeline-consumers" TargetMode="External"/><Relationship Id="rId11" Type="http://schemas.openxmlformats.org/officeDocument/2006/relationships/hyperlink" Target="https://www.congress.gov/bill/116th-congress/house-bill/133/text" TargetMode="External"/><Relationship Id="rId24" Type="http://schemas.openxmlformats.org/officeDocument/2006/relationships/hyperlink" Target="https://www.youtube.com/watch?v=tCmWMk_DSOg&amp;t=" TargetMode="External"/><Relationship Id="rId32" Type="http://schemas.openxmlformats.org/officeDocument/2006/relationships/hyperlink" Target="https://www.ihs.gov/telehealth/telehealthprograms/" TargetMode="External"/><Relationship Id="rId37" Type="http://schemas.openxmlformats.org/officeDocument/2006/relationships/hyperlink" Target="https://www.usmedicine.com/clinical-topics/pharmacy-clinical-topics/infrastructure-lack-increases-health-risks-of-native-americans/" TargetMode="External"/><Relationship Id="rId40" Type="http://schemas.openxmlformats.org/officeDocument/2006/relationships/hyperlink" Target="https://www.youtube.com/watch?v=MoZln03GT5w" TargetMode="External"/><Relationship Id="rId45" Type="http://schemas.openxmlformats.org/officeDocument/2006/relationships/hyperlink" Target="https://www.healthit.gov/topic/health-it-and-health-information-exchange-basics/what-hie" TargetMode="External"/><Relationship Id="rId53" Type="http://schemas.openxmlformats.org/officeDocument/2006/relationships/hyperlink" Target="https://www.hhs.gov/hipaa/for-professionals/index.html" TargetMode="External"/><Relationship Id="rId58" Type="http://schemas.openxmlformats.org/officeDocument/2006/relationships/hyperlink" Target="https://telehealth.hhs.gov/providers/policy-changes-during-the-covid-19-public-health-emergency/hipaa-flexibility-for-telehealth-technology/" TargetMode="External"/><Relationship Id="rId66" Type="http://schemas.openxmlformats.org/officeDocument/2006/relationships/hyperlink" Target="https://covid.cdc.gov/covid-data-tracker/" TargetMode="External"/><Relationship Id="rId74" Type="http://schemas.openxmlformats.org/officeDocument/2006/relationships/hyperlink" Target="https://innovateohio.gov/priorities/resources/broadband/telehealth-blueprint" TargetMode="External"/><Relationship Id="rId79" Type="http://schemas.openxmlformats.org/officeDocument/2006/relationships/hyperlink" Target="https://www.healthit.gov/topic/about-onc" TargetMode="External"/><Relationship Id="rId5" Type="http://schemas.openxmlformats.org/officeDocument/2006/relationships/hyperlink" Target="https://www.hhs.gov/sites/default/files/guidance-on-nondiscrimination-in-telehealth.pdf" TargetMode="External"/><Relationship Id="rId61" Type="http://schemas.openxmlformats.org/officeDocument/2006/relationships/hyperlink" Target="https://telehealth.hhs.gov/" TargetMode="External"/><Relationship Id="rId19" Type="http://schemas.openxmlformats.org/officeDocument/2006/relationships/hyperlink" Target="https://www.fcc.gov/news-events/notes/2022/06/30/status-update-mapping-where-broadband-and-not-available-us" TargetMode="External"/><Relationship Id="rId14" Type="http://schemas.openxmlformats.org/officeDocument/2006/relationships/hyperlink" Target="https://www.fcc.gov/wireline-competition/telecommunications-access-policy-division/connected-care-pilot-program" TargetMode="External"/><Relationship Id="rId22" Type="http://schemas.openxmlformats.org/officeDocument/2006/relationships/hyperlink" Target="https://www.fcc.gov/document/access-fabric-third-party-stakeholders-announced" TargetMode="External"/><Relationship Id="rId27" Type="http://schemas.openxmlformats.org/officeDocument/2006/relationships/hyperlink" Target="https://www.fcc.gov/document/fcc-releases-new-national-broadband-maps" TargetMode="External"/><Relationship Id="rId30" Type="http://schemas.openxmlformats.org/officeDocument/2006/relationships/hyperlink" Target="https://telehealth.hhs.gov/providers/telehealth-for-american-indian-communities/getting-started/" TargetMode="External"/><Relationship Id="rId35" Type="http://schemas.openxmlformats.org/officeDocument/2006/relationships/hyperlink" Target="https://www.gao.gov/products/gao-22-104360" TargetMode="External"/><Relationship Id="rId43" Type="http://schemas.openxmlformats.org/officeDocument/2006/relationships/hyperlink" Target="https://telehealthresourcecenter.org/resources/fact-sheets/telehealth-disability-recommendations-for-providers" TargetMode="External"/><Relationship Id="rId48" Type="http://schemas.openxmlformats.org/officeDocument/2006/relationships/hyperlink" Target="https://www.business.att.com/content/dam/attbusiness/reports/att-cybersecurity-insights-report-a-focus-on-healthcare.pdf" TargetMode="External"/><Relationship Id="rId56" Type="http://schemas.openxmlformats.org/officeDocument/2006/relationships/hyperlink" Target="https://www.telehealthequitycoalition.org/improving-digital-literacy-to-improve-telehealth-equity.html" TargetMode="External"/><Relationship Id="rId64" Type="http://schemas.openxmlformats.org/officeDocument/2006/relationships/hyperlink" Target="https://www.cms.gov/blog/creating-roadmap-end-covid-19-public-health-emergency" TargetMode="External"/><Relationship Id="rId69" Type="http://schemas.openxmlformats.org/officeDocument/2006/relationships/hyperlink" Target="https://www.healthcarelawbrief.com/category/covid-19/" TargetMode="External"/><Relationship Id="rId77" Type="http://schemas.openxmlformats.org/officeDocument/2006/relationships/hyperlink" Target="https://broadbandusa.ntia.doc.gov/broadband-equity-access-and-deployment-bead-program" TargetMode="External"/><Relationship Id="rId8" Type="http://schemas.openxmlformats.org/officeDocument/2006/relationships/hyperlink" Target="http://www.fcc.gov/health/SDOH" TargetMode="External"/><Relationship Id="rId51" Type="http://schemas.openxmlformats.org/officeDocument/2006/relationships/hyperlink" Target="https://www.modernhealthcare.com/article/20180703/SPONSORED/180709967/lowering-the-cost-of-care-through-interoperability-while-improving-quality" TargetMode="External"/><Relationship Id="rId72" Type="http://schemas.openxmlformats.org/officeDocument/2006/relationships/hyperlink" Target="https://www.fcc.gov/general/e-rate-schools-libraries-usf-program" TargetMode="External"/><Relationship Id="rId3" Type="http://schemas.openxmlformats.org/officeDocument/2006/relationships/hyperlink" Target="https://www.who.int/health-topics/coronavirus" TargetMode="External"/><Relationship Id="rId12" Type="http://schemas.openxmlformats.org/officeDocument/2006/relationships/hyperlink" Target="https://www.fcc.gov/sites/default/files/covid-19-telehealth-program-recipients.pdf" TargetMode="External"/><Relationship Id="rId17" Type="http://schemas.openxmlformats.org/officeDocument/2006/relationships/hyperlink" Target="https://www.fcc.gov/acp" TargetMode="External"/><Relationship Id="rId25" Type="http://schemas.openxmlformats.org/officeDocument/2006/relationships/hyperlink" Target="https://help.bdc.fcc.gov/hc/en-us/articles/6047425308187-Formatting-Mobile-Broadband-Availability-Coverage-Maps-" TargetMode="External"/><Relationship Id="rId33" Type="http://schemas.openxmlformats.org/officeDocument/2006/relationships/hyperlink" Target="https://www.usac.org/about/tribal-nations/usac-congressional-response-programs/covid-19-telehealth-program/" TargetMode="External"/><Relationship Id="rId38" Type="http://schemas.openxmlformats.org/officeDocument/2006/relationships/hyperlink" Target="https://www.gao.gov/assets/gao-22-104421.pdf" TargetMode="External"/><Relationship Id="rId46" Type="http://schemas.openxmlformats.org/officeDocument/2006/relationships/hyperlink" Target="https://www.techtarget.com/searchhealthit/definition/Health-information-exchange-HIE" TargetMode="External"/><Relationship Id="rId59" Type="http://schemas.openxmlformats.org/officeDocument/2006/relationships/hyperlink" Target="https://telehealth.hhs.gov/providers/policy-changes-during-the-covid-19-public-health-emergency/hipaa-flexibility-for-telehealth-technology/" TargetMode="External"/><Relationship Id="rId67" Type="http://schemas.openxmlformats.org/officeDocument/2006/relationships/hyperlink" Target="https://pubmed.ncbi.nlm.nih.gov/33352097" TargetMode="External"/><Relationship Id="rId20" Type="http://schemas.openxmlformats.org/officeDocument/2006/relationships/hyperlink" Target="https://www.fcc.gov/news-events/notes/2022/09/02/another-step-toward-better-broadband-maps" TargetMode="External"/><Relationship Id="rId41" Type="http://schemas.openxmlformats.org/officeDocument/2006/relationships/hyperlink" Target="https://www.nehi-us.org/writable/publication_files/file/incare_telehealth.pdf" TargetMode="External"/><Relationship Id="rId54" Type="http://schemas.openxmlformats.org/officeDocument/2006/relationships/hyperlink" Target="https://www.healthrecoverysolutions.com/blog/how-centralized-telehealth-increases-telehealth-utilization" TargetMode="External"/><Relationship Id="rId62" Type="http://schemas.openxmlformats.org/officeDocument/2006/relationships/hyperlink" Target="https://telehealth.hhs.gov/providers/policy-changes-during-the-covid-19-public-health-emergency/policy-changes-after-the-covid-19-public-health-emergency/" TargetMode="External"/><Relationship Id="rId70" Type="http://schemas.openxmlformats.org/officeDocument/2006/relationships/hyperlink" Target="https://www.healthcarelawbrief.com/2021/10/lessons-from-the-covid-19-pandemic-planning-for-disaster-preparedness-and-emergency-management-in-hospitals" TargetMode="External"/><Relationship Id="rId75" Type="http://schemas.openxmlformats.org/officeDocument/2006/relationships/hyperlink" Target="https://innovateohio.gov/news/news-and-events/052621" TargetMode="External"/><Relationship Id="rId1" Type="http://schemas.openxmlformats.org/officeDocument/2006/relationships/hyperlink" Target="https://docs.fcc.gov/public/attachments/DOC-360696A5.pdf" TargetMode="External"/><Relationship Id="rId6" Type="http://schemas.openxmlformats.org/officeDocument/2006/relationships/hyperlink" Target="https://www.fcc.gov/general/rural-health-care-program" TargetMode="External"/><Relationship Id="rId15" Type="http://schemas.openxmlformats.org/officeDocument/2006/relationships/hyperlink" Target="https://www.fcc.gov/sites/default/files/ccpp-selection-list_6.21.2021.pdf" TargetMode="External"/><Relationship Id="rId23" Type="http://schemas.openxmlformats.org/officeDocument/2006/relationships/hyperlink" Target="https://www.fcc.gov/document/inaugural-broadband-data-collection-filing-window-opens" TargetMode="External"/><Relationship Id="rId28" Type="http://schemas.openxmlformats.org/officeDocument/2006/relationships/hyperlink" Target="https://www.fcc.gov/sites/default/files/bdc-challenge-overview.pdf" TargetMode="External"/><Relationship Id="rId36" Type="http://schemas.openxmlformats.org/officeDocument/2006/relationships/hyperlink" Target="https://www.gao.gov/assets/gao-22-104421.pdf" TargetMode="External"/><Relationship Id="rId49" Type="http://schemas.openxmlformats.org/officeDocument/2006/relationships/hyperlink" Target="https://healthitanalytics.com/features/how-to-improve-data-normalization-in-healthcare" TargetMode="External"/><Relationship Id="rId57" Type="http://schemas.openxmlformats.org/officeDocument/2006/relationships/hyperlink" Target="https://www.pewresearch.org/fact-tank/2021/09/10/americans-with-disabilities-less-likely-than-those-without-to-own-some-digital-devices" TargetMode="External"/><Relationship Id="rId10" Type="http://schemas.openxmlformats.org/officeDocument/2006/relationships/hyperlink" Target="https://www.fcc.gov/document/fcc-covid-19-telehealth-program-application-portal-open-april-29" TargetMode="External"/><Relationship Id="rId31" Type="http://schemas.openxmlformats.org/officeDocument/2006/relationships/hyperlink" Target="https://www.gao.gov/products/gao-22-104360" TargetMode="External"/><Relationship Id="rId44" Type="http://schemas.openxmlformats.org/officeDocument/2006/relationships/hyperlink" Target="https://www.youtube.com/watch?v=UcDiMf2HuC8" TargetMode="External"/><Relationship Id="rId52" Type="http://schemas.openxmlformats.org/officeDocument/2006/relationships/hyperlink" Target="https://www.altexsoft.com/blog/telehealth-apis" TargetMode="External"/><Relationship Id="rId60" Type="http://schemas.openxmlformats.org/officeDocument/2006/relationships/hyperlink" Target="https://oig.hhs.gov/oei/reports/OEI-02-20-00520.asp" TargetMode="External"/><Relationship Id="rId65" Type="http://schemas.openxmlformats.org/officeDocument/2006/relationships/hyperlink" Target="https://www.who.int/news/item/05-05-2022-14.9-million-excess-deaths-were-associated-with-the-covid-19-pandemic-in-2020-and-2021" TargetMode="External"/><Relationship Id="rId73" Type="http://schemas.openxmlformats.org/officeDocument/2006/relationships/hyperlink" Target="https://www.oar.net/about/history" TargetMode="External"/><Relationship Id="rId78" Type="http://schemas.openxmlformats.org/officeDocument/2006/relationships/hyperlink" Target="https://www.ihs.gov/telehealth/telehealthprograms/" TargetMode="External"/><Relationship Id="rId4" Type="http://schemas.openxmlformats.org/officeDocument/2006/relationships/hyperlink" Target="https://www.commonwealthfund.org/publications/2020/apr/impact-covid-19-outpatient-visits" TargetMode="External"/><Relationship Id="rId9" Type="http://schemas.openxmlformats.org/officeDocument/2006/relationships/hyperlink" Target="https://www.fcc.gov/about-fcc/fcc-initiatives/connect2healthfcc" TargetMode="External"/><Relationship Id="rId13" Type="http://schemas.openxmlformats.org/officeDocument/2006/relationships/hyperlink" Target="https://www.fcc.gov/sites/default/files/r2_awardees_list_6.30.pdf" TargetMode="External"/><Relationship Id="rId18" Type="http://schemas.openxmlformats.org/officeDocument/2006/relationships/hyperlink" Target="https://www.fcc.gov/health/maps" TargetMode="External"/><Relationship Id="rId39" Type="http://schemas.openxmlformats.org/officeDocument/2006/relationships/hyperlink" Target="https://www.fcc.gov/news-events/events/2021/12/broadband-data-collection-tribal-governments-technical-assistance" TargetMode="External"/><Relationship Id="rId34" Type="http://schemas.openxmlformats.org/officeDocument/2006/relationships/hyperlink" Target="https://www.fcc.gov/document/fcc-readies-next-round-covid-19-telehealth-program" TargetMode="External"/><Relationship Id="rId50" Type="http://schemas.openxmlformats.org/officeDocument/2006/relationships/hyperlink" Target="https://www.healthit.gov/sites/default/files/factsheets/onc_interoperabilityfactsheet.pdf" TargetMode="External"/><Relationship Id="rId55" Type="http://schemas.openxmlformats.org/officeDocument/2006/relationships/hyperlink" Target="https://www.edweek.org/teaching-learning/what-is-digital-literacy/2016/11" TargetMode="External"/><Relationship Id="rId76" Type="http://schemas.openxmlformats.org/officeDocument/2006/relationships/hyperlink" Target="https://michiganchronicle.com/2020/11/05/detroit-seniors-gain-access-to-technology-with-connect-313" TargetMode="External"/><Relationship Id="rId7" Type="http://schemas.openxmlformats.org/officeDocument/2006/relationships/hyperlink" Target="https://www.fcc.gov/coronavirus" TargetMode="External"/><Relationship Id="rId71" Type="http://schemas.openxmlformats.org/officeDocument/2006/relationships/hyperlink" Target="https://newhampshirebulletin.com/2022/01/05/the-word-is-heartbreaking-as-covid-patients-fill-hospitals-others-are-turned-away" TargetMode="External"/><Relationship Id="rId2" Type="http://schemas.openxmlformats.org/officeDocument/2006/relationships/hyperlink" Target="https://mailchi.mp/cchpca/the-latest-telehealth-research-studies-show-how-telehealth-can-increase-equitable-access-to-care" TargetMode="External"/><Relationship Id="rId29" Type="http://schemas.openxmlformats.org/officeDocument/2006/relationships/hyperlink" Target="https://www.ruralhealthinfo.org/toolkits/telehealth/4/specific-populations/trib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78833CDEDB2B740AC71F45400DFF5DD" ma:contentTypeVersion="19" ma:contentTypeDescription="Create a new document." ma:contentTypeScope="" ma:versionID="ffefbb807efabbc1f3079a237dd32dde">
  <xsd:schema xmlns:xsd="http://www.w3.org/2001/XMLSchema" xmlns:xs="http://www.w3.org/2001/XMLSchema" xmlns:p="http://schemas.microsoft.com/office/2006/metadata/properties" xmlns:ns2="527229ec-5ec6-47e6-ae1d-b70509642cf0" xmlns:ns3="1e05840f-42e2-4799-929a-6e4212158d37" targetNamespace="http://schemas.microsoft.com/office/2006/metadata/properties" ma:root="true" ma:fieldsID="e493ed5d3b65f846f0ad8ac71c618b26" ns2:_="" ns3:_="">
    <xsd:import namespace="527229ec-5ec6-47e6-ae1d-b70509642cf0"/>
    <xsd:import namespace="1e05840f-42e2-4799-929a-6e4212158d3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EventHashCode" minOccurs="0"/>
                <xsd:element ref="ns3:MediaServiceGenerationTime" minOccurs="0"/>
                <xsd:element ref="ns3:MediaServiceAutoTags" minOccurs="0"/>
                <xsd:element ref="ns3:MediaServiceOCR" minOccurs="0"/>
                <xsd:element ref="ns3:MediaServiceAutoKeyPoints" minOccurs="0"/>
                <xsd:element ref="ns3:MediaServiceKeyPoints" minOccurs="0"/>
                <xsd:element ref="ns3:Comments"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229ec-5ec6-47e6-ae1d-b70509642cf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eed01556-8e5e-4142-9a7a-123811a2e215}" ma:internalName="TaxCatchAll" ma:showField="CatchAllData" ma:web="527229ec-5ec6-47e6-ae1d-b70509642cf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05840f-42e2-4799-929a-6e4212158d3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6d55bd0-b283-4673-bd71-a704af8c774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1e05840f-42e2-4799-929a-6e4212158d37" xsi:nil="true"/>
    <lcf76f155ced4ddcb4097134ff3c332f xmlns="1e05840f-42e2-4799-929a-6e4212158d37">
      <Terms xmlns="http://schemas.microsoft.com/office/infopath/2007/PartnerControls"/>
    </lcf76f155ced4ddcb4097134ff3c332f>
    <TaxCatchAll xmlns="527229ec-5ec6-47e6-ae1d-b70509642cf0" xsi:nil="true"/>
    <SharedWithUsers xmlns="527229ec-5ec6-47e6-ae1d-b70509642cf0">
      <UserInfo>
        <DisplayName>Michael Connelly</DisplayName>
        <AccountId>43</AccountId>
        <AccountType/>
      </UserInfo>
    </SharedWithUsers>
  </documentManagement>
</p:properties>
</file>

<file path=customXml/itemProps1.xml><?xml version="1.0" encoding="utf-8"?>
<ds:datastoreItem xmlns:ds="http://schemas.openxmlformats.org/officeDocument/2006/customXml" ds:itemID="{5633F207-94D1-4E0E-9D56-28B5993F88DD}">
  <ds:schemaRefs>
    <ds:schemaRef ds:uri="http://schemas.openxmlformats.org/officeDocument/2006/bibliography"/>
  </ds:schemaRefs>
</ds:datastoreItem>
</file>

<file path=customXml/itemProps2.xml><?xml version="1.0" encoding="utf-8"?>
<ds:datastoreItem xmlns:ds="http://schemas.openxmlformats.org/officeDocument/2006/customXml" ds:itemID="{D0342CE2-12A2-43D4-9260-72D6B8200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7229ec-5ec6-47e6-ae1d-b70509642cf0"/>
    <ds:schemaRef ds:uri="1e05840f-42e2-4799-929a-6e4212158d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684470-05E7-4550-91BD-3187197E8057}">
  <ds:schemaRefs>
    <ds:schemaRef ds:uri="http://schemas.microsoft.com/sharepoint/v3/contenttype/forms"/>
  </ds:schemaRefs>
</ds:datastoreItem>
</file>

<file path=customXml/itemProps4.xml><?xml version="1.0" encoding="utf-8"?>
<ds:datastoreItem xmlns:ds="http://schemas.openxmlformats.org/officeDocument/2006/customXml" ds:itemID="{AD7AAAEF-EF76-4C8A-8C12-EDEC2042B7D0}">
  <ds:schemaRefs>
    <ds:schemaRef ds:uri="1e05840f-42e2-4799-929a-6e4212158d37"/>
    <ds:schemaRef ds:uri="527229ec-5ec6-47e6-ae1d-b70509642cf0"/>
    <ds:schemaRef ds:uri="http://www.w3.org/XML/1998/namespace"/>
    <ds:schemaRef ds:uri="http://schemas.openxmlformats.org/package/2006/metadata/core-properties"/>
    <ds:schemaRef ds:uri="http://purl.org/dc/term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10991</Words>
  <Characters>62654</Characters>
  <Application>Microsoft Office Word</Application>
  <DocSecurity>0</DocSecurity>
  <Lines>522</Lines>
  <Paragraphs>146</Paragraphs>
  <ScaleCrop>false</ScaleCrop>
  <HeadingPairs>
    <vt:vector size="2" baseType="variant">
      <vt:variant>
        <vt:lpstr>Title</vt:lpstr>
      </vt:variant>
      <vt:variant>
        <vt:i4>1</vt:i4>
      </vt:variant>
    </vt:vector>
  </HeadingPairs>
  <TitlesOfParts>
    <vt:vector size="1" baseType="lpstr">
      <vt:lpstr>In the Matter of State, Local Tribal, and Territorial Regulatory and Other Barriers and Incentives to Telemedicine</vt:lpstr>
    </vt:vector>
  </TitlesOfParts>
  <Company/>
  <LinksUpToDate>false</LinksUpToDate>
  <CharactersWithSpaces>73499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Matter of State, Local Tribal, and Territorial Regulatory and Other Barriers and Incentives to Telemedicine</dc:title>
  <dc:creator>Voderberg, Peter</dc:creator>
  <cp:lastModifiedBy>Michael Snyder</cp:lastModifiedBy>
  <cp:revision>3</cp:revision>
  <cp:lastPrinted>2022-12-16T17:19:00Z</cp:lastPrinted>
  <dcterms:created xsi:type="dcterms:W3CDTF">2022-12-15T16:11:00Z</dcterms:created>
  <dcterms:modified xsi:type="dcterms:W3CDTF">2022-12-16T17:19:00Z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2019-11-06T00:00:00Z</vt:filetime>
  </property>
  <property fmtid="{D5CDD505-2E9C-101B-9397-08002B2CF9AE}" pid="3" name="Creator">
    <vt:lpwstr>Microsoft® Word for Office 365</vt:lpwstr>
  </property>
  <property fmtid="{D5CDD505-2E9C-101B-9397-08002B2CF9AE}" pid="4" name="LastSaved">
    <vt:filetime>2022-05-19T00:00:00Z</vt:filetime>
  </property>
  <property fmtid="{D5CDD505-2E9C-101B-9397-08002B2CF9AE}" pid="5" name="ContentTypeId">
    <vt:lpwstr>0x010100A78833CDEDB2B740AC71F45400DFF5DD</vt:lpwstr>
  </property>
  <property fmtid="{D5CDD505-2E9C-101B-9397-08002B2CF9AE}" pid="6" name="MediaServiceImageTags">
    <vt:lpwstr/>
  </property>
</Properties>
</file>