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E21" w:rsidRPr="00404DF7" w:rsidRDefault="00507E21" w:rsidP="00507E21">
      <w:pPr>
        <w:spacing w:after="0" w:line="240" w:lineRule="auto"/>
        <w:jc w:val="center"/>
        <w:rPr>
          <w:b/>
          <w:bCs/>
          <w:caps/>
          <w:sz w:val="24"/>
          <w:szCs w:val="24"/>
          <w:u w:val="thick"/>
        </w:rPr>
      </w:pPr>
      <w:bookmarkStart w:id="0" w:name="_GoBack"/>
      <w:bookmarkEnd w:id="0"/>
      <w:r w:rsidRPr="00404DF7">
        <w:rPr>
          <w:b/>
          <w:bCs/>
          <w:caps/>
          <w:sz w:val="24"/>
          <w:szCs w:val="24"/>
          <w:u w:val="thick"/>
        </w:rPr>
        <w:t>Appendices</w:t>
      </w:r>
    </w:p>
    <w:p w:rsidR="00507E21" w:rsidRPr="00404DF7" w:rsidRDefault="00507E21" w:rsidP="00507E21">
      <w:pPr>
        <w:spacing w:after="0" w:line="240" w:lineRule="auto"/>
        <w:rPr>
          <w:caps/>
          <w:sz w:val="24"/>
          <w:szCs w:val="24"/>
          <w:u w:val="thick"/>
        </w:rPr>
      </w:pPr>
    </w:p>
    <w:p w:rsidR="00507E21" w:rsidRPr="00404DF7" w:rsidRDefault="00507E21" w:rsidP="00507E21">
      <w:pPr>
        <w:spacing w:after="0" w:line="240" w:lineRule="auto"/>
        <w:rPr>
          <w:caps/>
          <w:sz w:val="24"/>
          <w:szCs w:val="24"/>
        </w:rPr>
      </w:pPr>
      <w:r w:rsidRPr="00404DF7">
        <w:rPr>
          <w:caps/>
          <w:sz w:val="24"/>
          <w:szCs w:val="24"/>
        </w:rPr>
        <w:t>Appendix A:</w:t>
      </w:r>
      <w:r w:rsidRPr="00404DF7">
        <w:rPr>
          <w:caps/>
          <w:sz w:val="24"/>
          <w:szCs w:val="24"/>
        </w:rPr>
        <w:tab/>
      </w:r>
      <w:hyperlink w:anchor="a" w:history="1">
        <w:r w:rsidRPr="005F251A">
          <w:rPr>
            <w:rStyle w:val="Hyperlink"/>
            <w:caps/>
            <w:sz w:val="24"/>
            <w:szCs w:val="24"/>
          </w:rPr>
          <w:t>Ambiguity BARRIER: ANALYSIS AND RECOMMENDATIONS</w:t>
        </w:r>
      </w:hyperlink>
      <w:r w:rsidRPr="00404DF7">
        <w:rPr>
          <w:caps/>
          <w:sz w:val="24"/>
          <w:szCs w:val="24"/>
        </w:rPr>
        <w:t xml:space="preserve"> </w:t>
      </w:r>
    </w:p>
    <w:p w:rsidR="00507E21" w:rsidRPr="00800BDF" w:rsidRDefault="00507E21" w:rsidP="00507E21">
      <w:pPr>
        <w:spacing w:after="0" w:line="240" w:lineRule="auto"/>
        <w:ind w:left="1440" w:firstLine="720"/>
        <w:rPr>
          <w:b/>
          <w:caps/>
          <w:sz w:val="24"/>
          <w:szCs w:val="24"/>
        </w:rPr>
      </w:pPr>
    </w:p>
    <w:p w:rsidR="00507E21" w:rsidRPr="00800BDF" w:rsidRDefault="00507E21" w:rsidP="00507E21">
      <w:pPr>
        <w:spacing w:after="0" w:line="240" w:lineRule="auto"/>
        <w:rPr>
          <w:b/>
          <w:caps/>
          <w:color w:val="FF0000"/>
          <w:sz w:val="24"/>
          <w:szCs w:val="24"/>
        </w:rPr>
      </w:pPr>
      <w:r w:rsidRPr="00404DF7">
        <w:rPr>
          <w:caps/>
          <w:sz w:val="24"/>
          <w:szCs w:val="24"/>
        </w:rPr>
        <w:t>APPENDIX B:</w:t>
      </w:r>
      <w:r w:rsidRPr="00404DF7">
        <w:rPr>
          <w:caps/>
          <w:sz w:val="24"/>
          <w:szCs w:val="24"/>
        </w:rPr>
        <w:tab/>
      </w:r>
      <w:hyperlink w:anchor="b" w:history="1">
        <w:r w:rsidRPr="005F251A">
          <w:rPr>
            <w:rStyle w:val="Hyperlink"/>
            <w:caps/>
            <w:sz w:val="24"/>
            <w:szCs w:val="24"/>
          </w:rPr>
          <w:t>Discrimination BARRIER: ANALYSIS AND RECOMMENDATIONS</w:t>
        </w:r>
      </w:hyperlink>
      <w:r w:rsidRPr="00404DF7">
        <w:rPr>
          <w:caps/>
          <w:sz w:val="24"/>
          <w:szCs w:val="24"/>
        </w:rPr>
        <w:t xml:space="preserve"> </w:t>
      </w:r>
    </w:p>
    <w:p w:rsidR="00507E21" w:rsidRPr="00404DF7" w:rsidRDefault="00507E21" w:rsidP="00507E21">
      <w:pPr>
        <w:spacing w:after="0" w:line="240" w:lineRule="auto"/>
        <w:rPr>
          <w:caps/>
          <w:sz w:val="24"/>
          <w:szCs w:val="24"/>
        </w:rPr>
      </w:pPr>
    </w:p>
    <w:p w:rsidR="00507E21" w:rsidRPr="005F251A" w:rsidRDefault="00507E21" w:rsidP="00507E21">
      <w:pPr>
        <w:spacing w:after="0" w:line="240" w:lineRule="auto"/>
        <w:ind w:left="2160" w:hanging="2160"/>
        <w:rPr>
          <w:rStyle w:val="Hyperlink"/>
          <w:caps/>
          <w:sz w:val="24"/>
          <w:szCs w:val="24"/>
        </w:rPr>
      </w:pPr>
      <w:r w:rsidRPr="00404DF7">
        <w:rPr>
          <w:caps/>
          <w:sz w:val="24"/>
          <w:szCs w:val="24"/>
        </w:rPr>
        <w:t xml:space="preserve">APPENDIX C:   </w:t>
      </w:r>
      <w:r w:rsidR="005F251A">
        <w:rPr>
          <w:caps/>
          <w:sz w:val="24"/>
          <w:szCs w:val="24"/>
        </w:rPr>
        <w:fldChar w:fldCharType="begin"/>
      </w:r>
      <w:r w:rsidR="005F251A">
        <w:rPr>
          <w:caps/>
          <w:sz w:val="24"/>
          <w:szCs w:val="24"/>
        </w:rPr>
        <w:instrText xml:space="preserve"> HYPERLINK  \l "c" </w:instrText>
      </w:r>
      <w:r w:rsidR="005F251A">
        <w:rPr>
          <w:caps/>
          <w:sz w:val="24"/>
          <w:szCs w:val="24"/>
        </w:rPr>
        <w:fldChar w:fldCharType="separate"/>
      </w:r>
      <w:r w:rsidRPr="005F251A">
        <w:rPr>
          <w:rStyle w:val="Hyperlink"/>
          <w:caps/>
          <w:sz w:val="24"/>
          <w:szCs w:val="24"/>
        </w:rPr>
        <w:t>Excessive Fees BARRIER: ANALYSIS AND RECOMMENDATIONS</w:t>
      </w:r>
    </w:p>
    <w:p w:rsidR="00507E21" w:rsidRPr="00404DF7" w:rsidRDefault="005F251A" w:rsidP="00507E21">
      <w:pPr>
        <w:spacing w:after="0" w:line="240" w:lineRule="auto"/>
        <w:ind w:left="2160"/>
        <w:rPr>
          <w:caps/>
          <w:sz w:val="24"/>
          <w:szCs w:val="24"/>
        </w:rPr>
      </w:pPr>
      <w:r>
        <w:rPr>
          <w:caps/>
          <w:sz w:val="24"/>
          <w:szCs w:val="24"/>
        </w:rPr>
        <w:fldChar w:fldCharType="end"/>
      </w:r>
    </w:p>
    <w:p w:rsidR="00507E21" w:rsidRPr="005F251A" w:rsidRDefault="00507E21" w:rsidP="00507E21">
      <w:pPr>
        <w:spacing w:after="0" w:line="240" w:lineRule="auto"/>
        <w:rPr>
          <w:rStyle w:val="Hyperlink"/>
          <w:caps/>
          <w:sz w:val="24"/>
          <w:szCs w:val="24"/>
        </w:rPr>
      </w:pPr>
      <w:r w:rsidRPr="00404DF7">
        <w:rPr>
          <w:caps/>
          <w:sz w:val="24"/>
          <w:szCs w:val="24"/>
        </w:rPr>
        <w:t>APPENDIX D:</w:t>
      </w:r>
      <w:r w:rsidRPr="00404DF7">
        <w:rPr>
          <w:caps/>
          <w:sz w:val="24"/>
          <w:szCs w:val="24"/>
        </w:rPr>
        <w:tab/>
      </w:r>
      <w:r w:rsidR="005F251A">
        <w:rPr>
          <w:caps/>
          <w:sz w:val="24"/>
          <w:szCs w:val="24"/>
        </w:rPr>
        <w:fldChar w:fldCharType="begin"/>
      </w:r>
      <w:r w:rsidR="005F251A">
        <w:rPr>
          <w:caps/>
          <w:sz w:val="24"/>
          <w:szCs w:val="24"/>
        </w:rPr>
        <w:instrText xml:space="preserve"> HYPERLINK  \l "d" </w:instrText>
      </w:r>
      <w:r w:rsidR="005F251A">
        <w:rPr>
          <w:caps/>
          <w:sz w:val="24"/>
          <w:szCs w:val="24"/>
        </w:rPr>
        <w:fldChar w:fldCharType="separate"/>
      </w:r>
      <w:r w:rsidRPr="005F251A">
        <w:rPr>
          <w:rStyle w:val="Hyperlink"/>
          <w:caps/>
          <w:sz w:val="24"/>
          <w:szCs w:val="24"/>
        </w:rPr>
        <w:t>Inflexibility BARRIER: ANALYSIS AND RECOMMENDATIONS</w:t>
      </w:r>
    </w:p>
    <w:p w:rsidR="00507E21" w:rsidRPr="00404DF7" w:rsidRDefault="005F251A" w:rsidP="00507E21">
      <w:pPr>
        <w:spacing w:after="0" w:line="240" w:lineRule="auto"/>
        <w:rPr>
          <w:caps/>
          <w:sz w:val="24"/>
          <w:szCs w:val="24"/>
        </w:rPr>
      </w:pPr>
      <w:r>
        <w:rPr>
          <w:caps/>
          <w:sz w:val="24"/>
          <w:szCs w:val="24"/>
        </w:rPr>
        <w:fldChar w:fldCharType="end"/>
      </w:r>
    </w:p>
    <w:p w:rsidR="00507E21" w:rsidRPr="00404DF7" w:rsidRDefault="00507E21" w:rsidP="00507E21">
      <w:pPr>
        <w:spacing w:after="0" w:line="240" w:lineRule="auto"/>
        <w:rPr>
          <w:caps/>
          <w:sz w:val="24"/>
          <w:szCs w:val="24"/>
        </w:rPr>
      </w:pPr>
      <w:r w:rsidRPr="00404DF7">
        <w:rPr>
          <w:caps/>
          <w:sz w:val="24"/>
          <w:szCs w:val="24"/>
        </w:rPr>
        <w:t>APPENDIX E:</w:t>
      </w:r>
      <w:r w:rsidRPr="00404DF7">
        <w:rPr>
          <w:caps/>
          <w:sz w:val="24"/>
          <w:szCs w:val="24"/>
        </w:rPr>
        <w:tab/>
      </w:r>
      <w:hyperlink w:anchor="e" w:history="1">
        <w:r w:rsidRPr="005F251A">
          <w:rPr>
            <w:rStyle w:val="Hyperlink"/>
            <w:caps/>
            <w:sz w:val="24"/>
            <w:szCs w:val="24"/>
          </w:rPr>
          <w:t>Inordinance BARRIER: ANALYSIS AND RECOMMENDATIONS</w:t>
        </w:r>
      </w:hyperlink>
    </w:p>
    <w:p w:rsidR="00507E21" w:rsidRPr="00404DF7" w:rsidRDefault="00507E21" w:rsidP="00507E21">
      <w:pPr>
        <w:spacing w:after="0" w:line="240" w:lineRule="auto"/>
        <w:rPr>
          <w:caps/>
          <w:sz w:val="24"/>
          <w:szCs w:val="24"/>
        </w:rPr>
      </w:pPr>
    </w:p>
    <w:p w:rsidR="00507E21" w:rsidRPr="00404DF7" w:rsidRDefault="00507E21" w:rsidP="00507E21">
      <w:pPr>
        <w:spacing w:after="0" w:line="240" w:lineRule="auto"/>
        <w:rPr>
          <w:caps/>
          <w:sz w:val="24"/>
          <w:szCs w:val="24"/>
        </w:rPr>
      </w:pPr>
      <w:r w:rsidRPr="00404DF7">
        <w:rPr>
          <w:caps/>
          <w:sz w:val="24"/>
          <w:szCs w:val="24"/>
        </w:rPr>
        <w:t>APPENDIX F:</w:t>
      </w:r>
      <w:r w:rsidRPr="00404DF7">
        <w:rPr>
          <w:caps/>
          <w:sz w:val="24"/>
          <w:szCs w:val="24"/>
        </w:rPr>
        <w:tab/>
      </w:r>
      <w:hyperlink w:anchor="f" w:history="1">
        <w:r w:rsidRPr="005F251A">
          <w:rPr>
            <w:rStyle w:val="Hyperlink"/>
            <w:caps/>
            <w:sz w:val="24"/>
            <w:szCs w:val="24"/>
          </w:rPr>
          <w:t>Non-Compliance BARRIER: ANALYSIS AND RECOMMENDATIONS</w:t>
        </w:r>
      </w:hyperlink>
    </w:p>
    <w:p w:rsidR="00507E21" w:rsidRPr="00404DF7" w:rsidRDefault="00507E21" w:rsidP="00507E21">
      <w:pPr>
        <w:spacing w:after="0" w:line="240" w:lineRule="auto"/>
        <w:rPr>
          <w:caps/>
          <w:sz w:val="24"/>
          <w:szCs w:val="24"/>
        </w:rPr>
      </w:pPr>
    </w:p>
    <w:p w:rsidR="00507E21" w:rsidRPr="00404DF7" w:rsidRDefault="00507E21" w:rsidP="00507E21">
      <w:pPr>
        <w:spacing w:after="0" w:line="240" w:lineRule="auto"/>
        <w:rPr>
          <w:caps/>
          <w:sz w:val="24"/>
          <w:szCs w:val="24"/>
        </w:rPr>
      </w:pPr>
      <w:r w:rsidRPr="00404DF7">
        <w:rPr>
          <w:caps/>
          <w:sz w:val="24"/>
          <w:szCs w:val="24"/>
        </w:rPr>
        <w:t>APPENDIX G:</w:t>
      </w:r>
      <w:r w:rsidRPr="00404DF7">
        <w:rPr>
          <w:caps/>
          <w:sz w:val="24"/>
          <w:szCs w:val="24"/>
        </w:rPr>
        <w:tab/>
      </w:r>
      <w:hyperlink w:anchor="g" w:history="1">
        <w:r w:rsidRPr="005F251A">
          <w:rPr>
            <w:rStyle w:val="Hyperlink"/>
            <w:caps/>
            <w:sz w:val="24"/>
            <w:szCs w:val="24"/>
          </w:rPr>
          <w:t>pREEMPTION ANALYSIS</w:t>
        </w:r>
      </w:hyperlink>
    </w:p>
    <w:p w:rsidR="00507E21" w:rsidRPr="00404DF7" w:rsidRDefault="00507E21" w:rsidP="00507E21">
      <w:pPr>
        <w:spacing w:after="0" w:line="240" w:lineRule="auto"/>
        <w:rPr>
          <w:caps/>
          <w:sz w:val="24"/>
          <w:szCs w:val="24"/>
        </w:rPr>
      </w:pPr>
    </w:p>
    <w:p w:rsidR="00507E21" w:rsidRPr="00404DF7" w:rsidRDefault="00507E21" w:rsidP="00507E21">
      <w:pPr>
        <w:pStyle w:val="ListParagraph"/>
        <w:spacing w:after="0" w:line="240" w:lineRule="auto"/>
        <w:ind w:left="0"/>
        <w:rPr>
          <w:caps/>
          <w:sz w:val="24"/>
          <w:szCs w:val="24"/>
        </w:rPr>
      </w:pPr>
      <w:r w:rsidRPr="00404DF7">
        <w:rPr>
          <w:caps/>
          <w:sz w:val="24"/>
          <w:szCs w:val="24"/>
        </w:rPr>
        <w:t>APPENDIX h:</w:t>
      </w:r>
      <w:r w:rsidRPr="00404DF7">
        <w:rPr>
          <w:caps/>
          <w:sz w:val="24"/>
          <w:szCs w:val="24"/>
        </w:rPr>
        <w:tab/>
      </w:r>
      <w:hyperlink w:anchor="h" w:history="1">
        <w:r w:rsidRPr="005F251A">
          <w:rPr>
            <w:rStyle w:val="Hyperlink"/>
            <w:caps/>
            <w:sz w:val="24"/>
            <w:szCs w:val="24"/>
          </w:rPr>
          <w:t>Broadband readiness checklist</w:t>
        </w:r>
      </w:hyperlink>
    </w:p>
    <w:p w:rsidR="00507E21" w:rsidRPr="00404DF7" w:rsidRDefault="00507E21" w:rsidP="00507E21">
      <w:pPr>
        <w:pStyle w:val="ListParagraph"/>
        <w:spacing w:after="0" w:line="240" w:lineRule="auto"/>
        <w:ind w:left="2880"/>
        <w:rPr>
          <w:sz w:val="24"/>
          <w:szCs w:val="24"/>
        </w:rPr>
        <w:sectPr w:rsidR="00507E21" w:rsidRPr="00404DF7" w:rsidSect="00800BDF">
          <w:headerReference w:type="even" r:id="rId8"/>
          <w:headerReference w:type="default" r:id="rId9"/>
          <w:footerReference w:type="default" r:id="rId10"/>
          <w:headerReference w:type="first" r:id="rId11"/>
          <w:footerReference w:type="first" r:id="rId12"/>
          <w:type w:val="continuous"/>
          <w:pgSz w:w="12240" w:h="15840"/>
          <w:pgMar w:top="1440" w:right="1440" w:bottom="1440" w:left="1440" w:header="720" w:footer="720" w:gutter="0"/>
          <w:pgNumType w:start="1"/>
          <w:cols w:space="720"/>
          <w:titlePg/>
          <w:docGrid w:linePitch="360"/>
        </w:sectPr>
      </w:pPr>
      <w:r w:rsidRPr="00404DF7">
        <w:rPr>
          <w:sz w:val="24"/>
          <w:szCs w:val="24"/>
        </w:rPr>
        <w:br/>
      </w:r>
    </w:p>
    <w:p w:rsidR="001E4215" w:rsidRDefault="001E4215" w:rsidP="00507E21">
      <w:pPr>
        <w:spacing w:after="0" w:line="240" w:lineRule="auto"/>
        <w:rPr>
          <w:b/>
          <w:caps/>
          <w:sz w:val="24"/>
          <w:szCs w:val="24"/>
        </w:rPr>
      </w:pPr>
    </w:p>
    <w:p w:rsidR="000D2B16" w:rsidRDefault="000D2B16" w:rsidP="00507E21">
      <w:pPr>
        <w:spacing w:after="0" w:line="240" w:lineRule="auto"/>
        <w:rPr>
          <w:sz w:val="24"/>
          <w:szCs w:val="24"/>
        </w:rPr>
      </w:pPr>
    </w:p>
    <w:p w:rsidR="000D2B16" w:rsidRPr="000D2B16" w:rsidRDefault="000D2B16" w:rsidP="000D2B16">
      <w:pPr>
        <w:spacing w:after="0" w:line="240" w:lineRule="auto"/>
        <w:rPr>
          <w:sz w:val="24"/>
          <w:szCs w:val="24"/>
        </w:rPr>
      </w:pPr>
      <w:r>
        <w:rPr>
          <w:sz w:val="24"/>
          <w:szCs w:val="24"/>
        </w:rPr>
        <w:t>These appendices are the result of the work the “Barriers” Work</w:t>
      </w:r>
      <w:r w:rsidR="001C4A84">
        <w:rPr>
          <w:sz w:val="24"/>
          <w:szCs w:val="24"/>
        </w:rPr>
        <w:t xml:space="preserve"> </w:t>
      </w:r>
      <w:r>
        <w:rPr>
          <w:sz w:val="24"/>
          <w:szCs w:val="24"/>
        </w:rPr>
        <w:t>Group</w:t>
      </w:r>
      <w:r w:rsidR="004B4747">
        <w:rPr>
          <w:sz w:val="24"/>
          <w:szCs w:val="24"/>
        </w:rPr>
        <w:t xml:space="preserve">’s efforts </w:t>
      </w:r>
      <w:r>
        <w:rPr>
          <w:sz w:val="24"/>
          <w:szCs w:val="24"/>
        </w:rPr>
        <w:t xml:space="preserve">to date. The </w:t>
      </w:r>
      <w:r w:rsidR="004B4747">
        <w:rPr>
          <w:sz w:val="24"/>
          <w:szCs w:val="24"/>
        </w:rPr>
        <w:t xml:space="preserve">“vote </w:t>
      </w:r>
      <w:r>
        <w:rPr>
          <w:sz w:val="24"/>
          <w:szCs w:val="24"/>
        </w:rPr>
        <w:t>recommendations</w:t>
      </w:r>
      <w:r w:rsidR="004B4747">
        <w:rPr>
          <w:sz w:val="24"/>
          <w:szCs w:val="24"/>
        </w:rPr>
        <w:t>”</w:t>
      </w:r>
      <w:r>
        <w:rPr>
          <w:sz w:val="24"/>
          <w:szCs w:val="24"/>
        </w:rPr>
        <w:t xml:space="preserve"> that were sent to the BDAC leadership team on October 31</w:t>
      </w:r>
      <w:r>
        <w:rPr>
          <w:sz w:val="24"/>
          <w:szCs w:val="24"/>
          <w:vertAlign w:val="superscript"/>
        </w:rPr>
        <w:t xml:space="preserve"> </w:t>
      </w:r>
      <w:r>
        <w:rPr>
          <w:sz w:val="24"/>
          <w:szCs w:val="24"/>
        </w:rPr>
        <w:t xml:space="preserve">were synthesized from these appendices based on a discussion of what the workgroup wanted to forward for a vote on the November 9 BDAC meeting. </w:t>
      </w:r>
    </w:p>
    <w:p w:rsidR="000D2B16" w:rsidRPr="000D2B16" w:rsidRDefault="000D2B16" w:rsidP="000D2B16">
      <w:pPr>
        <w:spacing w:after="0" w:line="240" w:lineRule="auto"/>
        <w:rPr>
          <w:sz w:val="24"/>
          <w:szCs w:val="24"/>
        </w:rPr>
      </w:pPr>
    </w:p>
    <w:p w:rsidR="000D2B16" w:rsidRPr="000D2B16" w:rsidRDefault="001C4A84" w:rsidP="000D2B16">
      <w:pPr>
        <w:spacing w:after="0" w:line="240" w:lineRule="auto"/>
        <w:rPr>
          <w:sz w:val="24"/>
          <w:szCs w:val="24"/>
        </w:rPr>
      </w:pPr>
      <w:r>
        <w:rPr>
          <w:sz w:val="24"/>
          <w:szCs w:val="24"/>
        </w:rPr>
        <w:t>In addition to voting items, w</w:t>
      </w:r>
      <w:r w:rsidR="000D2B16" w:rsidRPr="000D2B16">
        <w:rPr>
          <w:sz w:val="24"/>
          <w:szCs w:val="24"/>
        </w:rPr>
        <w:t xml:space="preserve">e </w:t>
      </w:r>
      <w:r w:rsidR="004B4747">
        <w:rPr>
          <w:sz w:val="24"/>
          <w:szCs w:val="24"/>
        </w:rPr>
        <w:t xml:space="preserve">thought </w:t>
      </w:r>
      <w:r w:rsidR="000D2B16" w:rsidRPr="000D2B16">
        <w:rPr>
          <w:sz w:val="24"/>
          <w:szCs w:val="24"/>
        </w:rPr>
        <w:t>our body of detailed work</w:t>
      </w:r>
      <w:r w:rsidRPr="001C4A84">
        <w:rPr>
          <w:sz w:val="24"/>
          <w:szCs w:val="24"/>
        </w:rPr>
        <w:t xml:space="preserve"> </w:t>
      </w:r>
      <w:r w:rsidR="004B4747">
        <w:rPr>
          <w:sz w:val="24"/>
          <w:szCs w:val="24"/>
        </w:rPr>
        <w:t xml:space="preserve">would be useful </w:t>
      </w:r>
      <w:r w:rsidRPr="000D2B16">
        <w:rPr>
          <w:sz w:val="24"/>
          <w:szCs w:val="24"/>
        </w:rPr>
        <w:t xml:space="preserve">to the </w:t>
      </w:r>
      <w:r w:rsidR="009620F3">
        <w:rPr>
          <w:sz w:val="24"/>
          <w:szCs w:val="24"/>
        </w:rPr>
        <w:t>full BDAC</w:t>
      </w:r>
      <w:r w:rsidRPr="000D2B16">
        <w:rPr>
          <w:sz w:val="24"/>
          <w:szCs w:val="24"/>
        </w:rPr>
        <w:t>.</w:t>
      </w:r>
      <w:r>
        <w:rPr>
          <w:sz w:val="24"/>
          <w:szCs w:val="24"/>
        </w:rPr>
        <w:t xml:space="preserve"> </w:t>
      </w:r>
      <w:r w:rsidR="004B4747">
        <w:rPr>
          <w:sz w:val="24"/>
          <w:szCs w:val="24"/>
        </w:rPr>
        <w:t>T</w:t>
      </w:r>
      <w:r>
        <w:rPr>
          <w:sz w:val="24"/>
          <w:szCs w:val="24"/>
        </w:rPr>
        <w:t xml:space="preserve">hese appendices include a description of the </w:t>
      </w:r>
      <w:r w:rsidR="004B4747">
        <w:rPr>
          <w:sz w:val="24"/>
          <w:szCs w:val="24"/>
        </w:rPr>
        <w:t>“</w:t>
      </w:r>
      <w:r>
        <w:rPr>
          <w:sz w:val="24"/>
          <w:szCs w:val="24"/>
        </w:rPr>
        <w:t>barriers</w:t>
      </w:r>
      <w:r w:rsidR="004B4747">
        <w:rPr>
          <w:sz w:val="24"/>
          <w:szCs w:val="24"/>
        </w:rPr>
        <w:t>”</w:t>
      </w:r>
      <w:r>
        <w:rPr>
          <w:sz w:val="24"/>
          <w:szCs w:val="24"/>
        </w:rPr>
        <w:t xml:space="preserve"> to broadband deployment that we uncovered, an explanation as to why </w:t>
      </w:r>
      <w:r w:rsidR="004B4747">
        <w:rPr>
          <w:sz w:val="24"/>
          <w:szCs w:val="24"/>
        </w:rPr>
        <w:t>each</w:t>
      </w:r>
      <w:r>
        <w:rPr>
          <w:sz w:val="24"/>
          <w:szCs w:val="24"/>
        </w:rPr>
        <w:t xml:space="preserve"> barrier </w:t>
      </w:r>
      <w:r w:rsidR="004B4747">
        <w:rPr>
          <w:sz w:val="24"/>
          <w:szCs w:val="24"/>
        </w:rPr>
        <w:t xml:space="preserve">(or perceived barrier) </w:t>
      </w:r>
      <w:r>
        <w:rPr>
          <w:sz w:val="24"/>
          <w:szCs w:val="24"/>
        </w:rPr>
        <w:t>exists, and recommendations for dealing with the barriers.</w:t>
      </w:r>
      <w:r w:rsidR="000D2B16" w:rsidRPr="000D2B16">
        <w:rPr>
          <w:sz w:val="24"/>
          <w:szCs w:val="24"/>
        </w:rPr>
        <w:t xml:space="preserve"> </w:t>
      </w:r>
      <w:r>
        <w:rPr>
          <w:sz w:val="24"/>
          <w:szCs w:val="24"/>
        </w:rPr>
        <w:t xml:space="preserve">These appendices </w:t>
      </w:r>
      <w:r w:rsidR="00D506AF">
        <w:rPr>
          <w:sz w:val="24"/>
          <w:szCs w:val="24"/>
        </w:rPr>
        <w:t>are presented as</w:t>
      </w:r>
      <w:r>
        <w:rPr>
          <w:sz w:val="24"/>
          <w:szCs w:val="24"/>
        </w:rPr>
        <w:t xml:space="preserve"> a</w:t>
      </w:r>
      <w:r w:rsidR="000D2B16" w:rsidRPr="000D2B16">
        <w:rPr>
          <w:sz w:val="24"/>
          <w:szCs w:val="24"/>
        </w:rPr>
        <w:t xml:space="preserve"> “work in progress” and </w:t>
      </w:r>
      <w:r w:rsidR="00D506AF">
        <w:rPr>
          <w:sz w:val="24"/>
          <w:szCs w:val="24"/>
        </w:rPr>
        <w:t>are</w:t>
      </w:r>
      <w:r w:rsidR="000D2B16" w:rsidRPr="000D2B16">
        <w:rPr>
          <w:sz w:val="24"/>
          <w:szCs w:val="24"/>
        </w:rPr>
        <w:t xml:space="preserve"> thus labeled as “Draft for Discussion Purposes.”</w:t>
      </w:r>
      <w:r w:rsidR="004B4747">
        <w:rPr>
          <w:sz w:val="24"/>
          <w:szCs w:val="24"/>
        </w:rPr>
        <w:t xml:space="preserve"> Thus, in their current form, they should not be taken as the workgroup’s agreed to position.</w:t>
      </w:r>
    </w:p>
    <w:p w:rsidR="000D2B16" w:rsidRDefault="000D2B16" w:rsidP="00507E21">
      <w:pPr>
        <w:spacing w:after="0" w:line="240" w:lineRule="auto"/>
        <w:rPr>
          <w:sz w:val="24"/>
          <w:szCs w:val="24"/>
        </w:rPr>
      </w:pPr>
    </w:p>
    <w:p w:rsidR="000D2B16" w:rsidRDefault="00D506AF" w:rsidP="00507E21">
      <w:pPr>
        <w:spacing w:after="0" w:line="240" w:lineRule="auto"/>
        <w:rPr>
          <w:sz w:val="24"/>
          <w:szCs w:val="24"/>
        </w:rPr>
      </w:pPr>
      <w:r>
        <w:rPr>
          <w:sz w:val="24"/>
          <w:szCs w:val="24"/>
        </w:rPr>
        <w:t>Appendix G is a little different than the other ones, and deserves its own disclaimer.</w:t>
      </w:r>
    </w:p>
    <w:p w:rsidR="00D506AF" w:rsidRDefault="000D2B16" w:rsidP="004B4747">
      <w:pPr>
        <w:spacing w:after="0" w:line="240" w:lineRule="auto"/>
        <w:rPr>
          <w:b/>
          <w:bCs/>
          <w:caps/>
          <w:sz w:val="24"/>
          <w:szCs w:val="24"/>
        </w:rPr>
      </w:pPr>
      <w:r w:rsidRPr="0069105A">
        <w:rPr>
          <w:sz w:val="24"/>
          <w:szCs w:val="24"/>
        </w:rPr>
        <w:t xml:space="preserve">During </w:t>
      </w:r>
      <w:r w:rsidR="004B4747">
        <w:rPr>
          <w:sz w:val="24"/>
          <w:szCs w:val="24"/>
        </w:rPr>
        <w:t>our</w:t>
      </w:r>
      <w:r w:rsidRPr="0069105A">
        <w:rPr>
          <w:sz w:val="24"/>
          <w:szCs w:val="24"/>
        </w:rPr>
        <w:t xml:space="preserve"> analysis of </w:t>
      </w:r>
      <w:r w:rsidR="00D506AF">
        <w:rPr>
          <w:sz w:val="24"/>
          <w:szCs w:val="24"/>
        </w:rPr>
        <w:t>deployment barriers,</w:t>
      </w:r>
      <w:r w:rsidRPr="0069105A">
        <w:rPr>
          <w:sz w:val="24"/>
          <w:szCs w:val="24"/>
        </w:rPr>
        <w:t xml:space="preserve"> the Working Group observed fundamentally different positions among stakeholders regarding the potential use of preemption as a means of removing certain state and local regulatory barriers. By and large, broadband providers support </w:t>
      </w:r>
      <w:r w:rsidRPr="00B547C3">
        <w:rPr>
          <w:sz w:val="24"/>
          <w:szCs w:val="24"/>
        </w:rPr>
        <w:t xml:space="preserve">greater use of preemption, viewing it as a way to provide more consistency and certainty in processes impacting access to ROW. </w:t>
      </w:r>
      <w:r>
        <w:rPr>
          <w:sz w:val="24"/>
          <w:szCs w:val="24"/>
        </w:rPr>
        <w:t>Localities</w:t>
      </w:r>
      <w:r w:rsidRPr="009F08DA">
        <w:rPr>
          <w:sz w:val="24"/>
          <w:szCs w:val="24"/>
        </w:rPr>
        <w:t xml:space="preserve"> and states, on the other hand, view preemption as unnecessar</w:t>
      </w:r>
      <w:r w:rsidRPr="009776A8">
        <w:rPr>
          <w:sz w:val="24"/>
          <w:szCs w:val="24"/>
        </w:rPr>
        <w:t xml:space="preserve">y because it would undermine their ability to ensure </w:t>
      </w:r>
      <w:r>
        <w:rPr>
          <w:sz w:val="24"/>
          <w:szCs w:val="24"/>
        </w:rPr>
        <w:t>their</w:t>
      </w:r>
      <w:r w:rsidRPr="009776A8">
        <w:rPr>
          <w:sz w:val="24"/>
          <w:szCs w:val="24"/>
        </w:rPr>
        <w:t xml:space="preserve"> legal obligation to maintain the health, safety and welfare of </w:t>
      </w:r>
      <w:r w:rsidRPr="0069105A">
        <w:rPr>
          <w:sz w:val="24"/>
          <w:szCs w:val="24"/>
        </w:rPr>
        <w:t xml:space="preserve">their constituents </w:t>
      </w:r>
      <w:r>
        <w:rPr>
          <w:sz w:val="24"/>
          <w:szCs w:val="24"/>
        </w:rPr>
        <w:t>are</w:t>
      </w:r>
      <w:r w:rsidRPr="0069105A">
        <w:rPr>
          <w:sz w:val="24"/>
          <w:szCs w:val="24"/>
        </w:rPr>
        <w:t xml:space="preserve"> met</w:t>
      </w:r>
      <w:r>
        <w:rPr>
          <w:sz w:val="24"/>
          <w:szCs w:val="24"/>
        </w:rPr>
        <w:t>,</w:t>
      </w:r>
      <w:r w:rsidRPr="0069105A">
        <w:rPr>
          <w:sz w:val="24"/>
          <w:szCs w:val="24"/>
        </w:rPr>
        <w:t xml:space="preserve"> and </w:t>
      </w:r>
      <w:r>
        <w:rPr>
          <w:sz w:val="24"/>
          <w:szCs w:val="24"/>
        </w:rPr>
        <w:t xml:space="preserve">to </w:t>
      </w:r>
      <w:r w:rsidRPr="0069105A">
        <w:rPr>
          <w:sz w:val="24"/>
          <w:szCs w:val="24"/>
        </w:rPr>
        <w:t xml:space="preserve">effectively manage the competing needs on the public ROW (e.g., electricity, water, sewers).  </w:t>
      </w:r>
      <w:r w:rsidR="00D506AF">
        <w:rPr>
          <w:sz w:val="24"/>
          <w:szCs w:val="24"/>
        </w:rPr>
        <w:t xml:space="preserve">Much productive discussion helped us shape Appendix G, but the workgroup </w:t>
      </w:r>
      <w:r w:rsidR="00D506AF" w:rsidRPr="00D506AF">
        <w:rPr>
          <w:sz w:val="24"/>
          <w:szCs w:val="24"/>
        </w:rPr>
        <w:t xml:space="preserve">is still undecided as to whether the analysis should be part of the group’s </w:t>
      </w:r>
      <w:r w:rsidR="00D506AF">
        <w:rPr>
          <w:sz w:val="24"/>
          <w:szCs w:val="24"/>
        </w:rPr>
        <w:t xml:space="preserve">final </w:t>
      </w:r>
      <w:r w:rsidR="00D506AF" w:rsidRPr="00D506AF">
        <w:rPr>
          <w:sz w:val="24"/>
          <w:szCs w:val="24"/>
        </w:rPr>
        <w:t>submission</w:t>
      </w:r>
      <w:r w:rsidR="00D506AF">
        <w:rPr>
          <w:sz w:val="24"/>
          <w:szCs w:val="24"/>
        </w:rPr>
        <w:t xml:space="preserve"> in its current form</w:t>
      </w:r>
      <w:r w:rsidR="004B4747">
        <w:rPr>
          <w:sz w:val="24"/>
          <w:szCs w:val="24"/>
        </w:rPr>
        <w:t xml:space="preserve"> or at all</w:t>
      </w:r>
      <w:r w:rsidR="00D506AF">
        <w:rPr>
          <w:sz w:val="24"/>
          <w:szCs w:val="24"/>
        </w:rPr>
        <w:t>.</w:t>
      </w:r>
      <w:r w:rsidR="00D506AF">
        <w:rPr>
          <w:b/>
          <w:bCs/>
          <w:caps/>
          <w:sz w:val="24"/>
          <w:szCs w:val="24"/>
        </w:rPr>
        <w:br w:type="page"/>
      </w:r>
    </w:p>
    <w:p w:rsidR="00507E21" w:rsidRPr="00404DF7" w:rsidRDefault="00507E21" w:rsidP="00507E21">
      <w:pPr>
        <w:spacing w:after="0" w:line="240" w:lineRule="auto"/>
        <w:jc w:val="center"/>
        <w:rPr>
          <w:b/>
          <w:bCs/>
          <w:caps/>
          <w:sz w:val="24"/>
          <w:szCs w:val="24"/>
        </w:rPr>
      </w:pPr>
      <w:r w:rsidRPr="00404DF7">
        <w:rPr>
          <w:b/>
          <w:bCs/>
          <w:caps/>
          <w:sz w:val="24"/>
          <w:szCs w:val="24"/>
        </w:rPr>
        <w:lastRenderedPageBreak/>
        <w:t>Appendix A</w:t>
      </w:r>
    </w:p>
    <w:p w:rsidR="00507E21" w:rsidRPr="00404DF7" w:rsidRDefault="00507E21" w:rsidP="00507E21">
      <w:pPr>
        <w:spacing w:after="0" w:line="240" w:lineRule="auto"/>
        <w:jc w:val="center"/>
        <w:rPr>
          <w:b/>
          <w:caps/>
          <w:sz w:val="24"/>
          <w:szCs w:val="24"/>
        </w:rPr>
      </w:pPr>
    </w:p>
    <w:p w:rsidR="00507E21" w:rsidRPr="00404DF7" w:rsidRDefault="00507E21" w:rsidP="00507E21">
      <w:pPr>
        <w:spacing w:after="0" w:line="240" w:lineRule="auto"/>
        <w:jc w:val="center"/>
        <w:rPr>
          <w:b/>
          <w:bCs/>
          <w:caps/>
          <w:sz w:val="24"/>
          <w:szCs w:val="24"/>
        </w:rPr>
      </w:pPr>
      <w:bookmarkStart w:id="1" w:name="a"/>
      <w:r w:rsidRPr="00404DF7">
        <w:rPr>
          <w:b/>
          <w:bCs/>
          <w:caps/>
          <w:sz w:val="24"/>
          <w:szCs w:val="24"/>
        </w:rPr>
        <w:t>Ambiguity BARRIER</w:t>
      </w:r>
      <w:bookmarkEnd w:id="1"/>
      <w:r w:rsidRPr="00404DF7">
        <w:rPr>
          <w:b/>
          <w:bCs/>
          <w:caps/>
          <w:sz w:val="24"/>
          <w:szCs w:val="24"/>
        </w:rPr>
        <w:t>:</w:t>
      </w:r>
    </w:p>
    <w:p w:rsidR="00507E21" w:rsidRPr="00404DF7" w:rsidRDefault="00507E21" w:rsidP="00507E21">
      <w:pPr>
        <w:spacing w:after="0" w:line="240" w:lineRule="auto"/>
        <w:jc w:val="center"/>
        <w:rPr>
          <w:b/>
          <w:bCs/>
          <w:caps/>
          <w:sz w:val="24"/>
          <w:szCs w:val="24"/>
        </w:rPr>
      </w:pPr>
      <w:r w:rsidRPr="00404DF7">
        <w:rPr>
          <w:b/>
          <w:bCs/>
          <w:caps/>
          <w:sz w:val="24"/>
          <w:szCs w:val="24"/>
        </w:rPr>
        <w:t>ANALYSIS AND RECOMMENDATIONS</w:t>
      </w:r>
    </w:p>
    <w:p w:rsidR="00507E21" w:rsidRPr="00404DF7" w:rsidRDefault="00507E21" w:rsidP="00507E21">
      <w:pPr>
        <w:spacing w:after="0" w:line="240" w:lineRule="auto"/>
        <w:jc w:val="center"/>
        <w:rPr>
          <w:sz w:val="24"/>
          <w:szCs w:val="24"/>
        </w:rPr>
      </w:pPr>
    </w:p>
    <w:p w:rsidR="00507E21" w:rsidRPr="0069105A" w:rsidRDefault="00507E21" w:rsidP="00507E21">
      <w:pPr>
        <w:spacing w:after="0" w:line="240" w:lineRule="auto"/>
        <w:rPr>
          <w:i/>
          <w:sz w:val="24"/>
          <w:szCs w:val="24"/>
        </w:rPr>
      </w:pPr>
      <w:r w:rsidRPr="00404DF7">
        <w:rPr>
          <w:b/>
          <w:bCs/>
          <w:smallCaps/>
          <w:sz w:val="24"/>
          <w:szCs w:val="24"/>
        </w:rPr>
        <w:t>Barrier Summary</w:t>
      </w:r>
      <w:r w:rsidRPr="00404DF7">
        <w:rPr>
          <w:b/>
          <w:bCs/>
          <w:i/>
          <w:iCs/>
          <w:sz w:val="24"/>
          <w:szCs w:val="24"/>
        </w:rPr>
        <w:t>.</w:t>
      </w:r>
      <w:r w:rsidRPr="00404DF7">
        <w:rPr>
          <w:i/>
          <w:iCs/>
          <w:sz w:val="24"/>
          <w:szCs w:val="24"/>
        </w:rPr>
        <w:t xml:space="preserve"> </w:t>
      </w:r>
      <w:r w:rsidRPr="0069105A">
        <w:rPr>
          <w:sz w:val="24"/>
          <w:szCs w:val="24"/>
        </w:rPr>
        <w:t xml:space="preserve">This barrier occurs when applications, procedures, and decision/approval timelines are </w:t>
      </w:r>
      <w:r w:rsidRPr="009F08DA">
        <w:rPr>
          <w:sz w:val="24"/>
          <w:szCs w:val="24"/>
        </w:rPr>
        <w:t>absent, arbitrary, unclear, unreasonable, or inflexible, which often manifests as deployment moratoria</w:t>
      </w:r>
      <w:r>
        <w:rPr>
          <w:i/>
          <w:iCs/>
          <w:sz w:val="24"/>
          <w:szCs w:val="24"/>
        </w:rPr>
        <w:t>.</w:t>
      </w:r>
    </w:p>
    <w:p w:rsidR="00507E21" w:rsidRPr="0069105A" w:rsidRDefault="00507E21" w:rsidP="00507E21">
      <w:pPr>
        <w:spacing w:after="0" w:line="240" w:lineRule="auto"/>
        <w:rPr>
          <w:b/>
          <w:i/>
          <w:sz w:val="24"/>
          <w:szCs w:val="24"/>
        </w:rPr>
      </w:pPr>
    </w:p>
    <w:p w:rsidR="00507E21" w:rsidRPr="00B547C3" w:rsidRDefault="00507E21" w:rsidP="00507E21">
      <w:pPr>
        <w:spacing w:after="0" w:line="240" w:lineRule="auto"/>
        <w:rPr>
          <w:b/>
          <w:i/>
          <w:sz w:val="24"/>
          <w:szCs w:val="24"/>
        </w:rPr>
      </w:pPr>
      <w:r w:rsidRPr="0069105A">
        <w:rPr>
          <w:b/>
          <w:bCs/>
          <w:smallCaps/>
          <w:sz w:val="24"/>
          <w:szCs w:val="24"/>
        </w:rPr>
        <w:t>Why This Barrier Arises</w:t>
      </w:r>
      <w:r w:rsidRPr="0069105A">
        <w:rPr>
          <w:b/>
          <w:bCs/>
          <w:i/>
          <w:iCs/>
          <w:sz w:val="24"/>
          <w:szCs w:val="24"/>
        </w:rPr>
        <w:t>.</w:t>
      </w:r>
    </w:p>
    <w:p w:rsidR="00507E21" w:rsidRPr="009776A8" w:rsidRDefault="00507E21" w:rsidP="00507E21">
      <w:pPr>
        <w:pStyle w:val="ListParagraph"/>
        <w:numPr>
          <w:ilvl w:val="0"/>
          <w:numId w:val="1"/>
        </w:numPr>
        <w:spacing w:after="0" w:line="240" w:lineRule="auto"/>
        <w:rPr>
          <w:b/>
          <w:bCs/>
          <w:i/>
          <w:iCs/>
          <w:sz w:val="24"/>
          <w:szCs w:val="24"/>
        </w:rPr>
      </w:pPr>
      <w:r w:rsidRPr="00B547C3">
        <w:rPr>
          <w:b/>
          <w:bCs/>
          <w:i/>
          <w:iCs/>
          <w:sz w:val="24"/>
          <w:szCs w:val="24"/>
        </w:rPr>
        <w:t xml:space="preserve">Lack of Information – </w:t>
      </w:r>
      <w:r w:rsidRPr="00B547C3">
        <w:rPr>
          <w:sz w:val="24"/>
          <w:szCs w:val="24"/>
        </w:rPr>
        <w:t>Local governments do not have enough information regarding the requ</w:t>
      </w:r>
      <w:r w:rsidRPr="009F08DA">
        <w:rPr>
          <w:sz w:val="24"/>
          <w:szCs w:val="24"/>
        </w:rPr>
        <w:t>ested application to make an informed decision. Providers do not have proper or complete information regarding requirements and expectations of the city.</w:t>
      </w:r>
    </w:p>
    <w:p w:rsidR="00507E21" w:rsidRPr="00B222AE" w:rsidRDefault="00507E21" w:rsidP="00507E21">
      <w:pPr>
        <w:pStyle w:val="ListParagraph"/>
        <w:numPr>
          <w:ilvl w:val="0"/>
          <w:numId w:val="1"/>
        </w:numPr>
        <w:spacing w:after="0" w:line="240" w:lineRule="auto"/>
        <w:rPr>
          <w:b/>
          <w:bCs/>
          <w:i/>
          <w:iCs/>
          <w:sz w:val="24"/>
          <w:szCs w:val="24"/>
        </w:rPr>
      </w:pPr>
      <w:r w:rsidRPr="009776A8">
        <w:rPr>
          <w:b/>
          <w:bCs/>
          <w:i/>
          <w:iCs/>
          <w:sz w:val="24"/>
          <w:szCs w:val="24"/>
        </w:rPr>
        <w:t xml:space="preserve">Lack of Process – </w:t>
      </w:r>
      <w:r w:rsidRPr="009776A8">
        <w:rPr>
          <w:sz w:val="24"/>
          <w:szCs w:val="24"/>
        </w:rPr>
        <w:t>The local government does not have a process to cover the type of application/reques</w:t>
      </w:r>
      <w:r w:rsidRPr="00B222AE">
        <w:rPr>
          <w:sz w:val="24"/>
          <w:szCs w:val="24"/>
        </w:rPr>
        <w:t>t presented.  This may be the case in the deployment of new technologies and new techniques.  Essentially it is policy and process that is not keeping up with the technology.</w:t>
      </w:r>
    </w:p>
    <w:p w:rsidR="00507E21" w:rsidRPr="00B222AE" w:rsidRDefault="00507E21" w:rsidP="00507E21">
      <w:pPr>
        <w:pStyle w:val="ListParagraph"/>
        <w:numPr>
          <w:ilvl w:val="0"/>
          <w:numId w:val="1"/>
        </w:numPr>
        <w:spacing w:after="0" w:line="240" w:lineRule="auto"/>
        <w:rPr>
          <w:b/>
          <w:bCs/>
          <w:i/>
          <w:iCs/>
          <w:sz w:val="24"/>
          <w:szCs w:val="24"/>
        </w:rPr>
      </w:pPr>
      <w:r w:rsidRPr="00B222AE">
        <w:rPr>
          <w:b/>
          <w:bCs/>
          <w:i/>
          <w:iCs/>
          <w:sz w:val="24"/>
          <w:szCs w:val="24"/>
        </w:rPr>
        <w:t xml:space="preserve">Lack of Capacity – </w:t>
      </w:r>
      <w:r w:rsidRPr="00B222AE">
        <w:rPr>
          <w:sz w:val="24"/>
          <w:szCs w:val="24"/>
        </w:rPr>
        <w:t>Local government does not have the resources or required technical knowledge to process the request in a reasonably timely manner. This may be a seasonal issue or may be an issue relating to the volume of permits filed at once.</w:t>
      </w:r>
    </w:p>
    <w:p w:rsidR="00507E21" w:rsidRPr="00B222AE" w:rsidRDefault="00507E21" w:rsidP="00507E21">
      <w:pPr>
        <w:pStyle w:val="ListParagraph"/>
        <w:numPr>
          <w:ilvl w:val="0"/>
          <w:numId w:val="1"/>
        </w:numPr>
        <w:spacing w:after="0" w:line="240" w:lineRule="auto"/>
        <w:rPr>
          <w:b/>
          <w:bCs/>
          <w:i/>
          <w:iCs/>
          <w:sz w:val="24"/>
          <w:szCs w:val="24"/>
        </w:rPr>
      </w:pPr>
      <w:r w:rsidRPr="00B222AE">
        <w:rPr>
          <w:b/>
          <w:bCs/>
          <w:i/>
          <w:iCs/>
          <w:sz w:val="24"/>
          <w:szCs w:val="24"/>
        </w:rPr>
        <w:t xml:space="preserve">Lack of Agreement - </w:t>
      </w:r>
      <w:r w:rsidRPr="00B222AE">
        <w:rPr>
          <w:sz w:val="24"/>
          <w:szCs w:val="24"/>
        </w:rPr>
        <w:t>When parties are not coming to agreement on terms. Improper assumptions or misaligned objectives may drive lack of agreement. There are also situations where there are different or non-transparent motives.</w:t>
      </w:r>
    </w:p>
    <w:p w:rsidR="00507E21" w:rsidRPr="00B222AE" w:rsidRDefault="00507E21" w:rsidP="00507E21">
      <w:pPr>
        <w:spacing w:after="0" w:line="240" w:lineRule="auto"/>
        <w:rPr>
          <w:sz w:val="24"/>
          <w:szCs w:val="24"/>
        </w:rPr>
      </w:pPr>
    </w:p>
    <w:p w:rsidR="00507E21" w:rsidRPr="00B222AE" w:rsidRDefault="00507E21" w:rsidP="00507E21">
      <w:pPr>
        <w:spacing w:after="0" w:line="240" w:lineRule="auto"/>
        <w:rPr>
          <w:sz w:val="24"/>
          <w:szCs w:val="24"/>
        </w:rPr>
      </w:pPr>
      <w:r w:rsidRPr="00B222AE">
        <w:rPr>
          <w:b/>
          <w:bCs/>
          <w:smallCaps/>
          <w:sz w:val="24"/>
          <w:szCs w:val="24"/>
        </w:rPr>
        <w:t>Recommendations</w:t>
      </w:r>
      <w:r>
        <w:rPr>
          <w:b/>
          <w:bCs/>
          <w:smallCaps/>
          <w:sz w:val="24"/>
          <w:szCs w:val="24"/>
        </w:rPr>
        <w:t>.</w:t>
      </w:r>
    </w:p>
    <w:p w:rsidR="00507E21" w:rsidRPr="007D26F7" w:rsidRDefault="00507E21" w:rsidP="00507E21">
      <w:pPr>
        <w:pStyle w:val="ListParagraph"/>
        <w:numPr>
          <w:ilvl w:val="0"/>
          <w:numId w:val="4"/>
        </w:numPr>
        <w:spacing w:after="0" w:line="240" w:lineRule="auto"/>
        <w:rPr>
          <w:b/>
          <w:sz w:val="24"/>
        </w:rPr>
      </w:pPr>
      <w:r w:rsidRPr="007D26F7">
        <w:rPr>
          <w:b/>
          <w:sz w:val="24"/>
        </w:rPr>
        <w:t>Lack of Information</w:t>
      </w:r>
    </w:p>
    <w:p w:rsidR="00507E21" w:rsidRPr="00253420" w:rsidRDefault="00507E21" w:rsidP="00507E21">
      <w:pPr>
        <w:pStyle w:val="ListParagraph"/>
        <w:numPr>
          <w:ilvl w:val="1"/>
          <w:numId w:val="4"/>
        </w:numPr>
        <w:spacing w:after="0" w:line="240" w:lineRule="auto"/>
        <w:rPr>
          <w:color w:val="000000"/>
          <w:sz w:val="24"/>
          <w:szCs w:val="24"/>
        </w:rPr>
      </w:pPr>
      <w:r w:rsidRPr="00253420">
        <w:rPr>
          <w:color w:val="000000"/>
          <w:sz w:val="24"/>
          <w:szCs w:val="24"/>
        </w:rPr>
        <w:t>Improve information flow – Recommend proactive discussion between industry and government groups to address each other’s information and understanding gaps and needs. Recommend pro-active leadership by local and state government in developing models for local and state governments to draw from.</w:t>
      </w:r>
    </w:p>
    <w:p w:rsidR="00507E21" w:rsidRPr="0069105A" w:rsidRDefault="00507E21" w:rsidP="00507E21">
      <w:pPr>
        <w:pStyle w:val="ListParagraph"/>
        <w:numPr>
          <w:ilvl w:val="1"/>
          <w:numId w:val="4"/>
        </w:numPr>
        <w:spacing w:after="0" w:line="240" w:lineRule="auto"/>
        <w:rPr>
          <w:color w:val="000000"/>
          <w:sz w:val="24"/>
          <w:szCs w:val="24"/>
        </w:rPr>
      </w:pPr>
      <w:r w:rsidRPr="00253420">
        <w:rPr>
          <w:color w:val="000000"/>
          <w:sz w:val="24"/>
          <w:szCs w:val="24"/>
        </w:rPr>
        <w:t xml:space="preserve">Recommend the engagement of ROW managers and recognize their critical role in developing the relationships between providers and local governments that contribute to closing the information gaps and facilitate smooth permit execution processes. ROW managers establish strong working relationships with industry partners and utility providers. They are a bridge to developing a common understanding of provider needs and goals, municipal requirements, and technical challenges for successfully working in the public right-of-way. </w:t>
      </w:r>
      <w:r w:rsidRPr="00253420">
        <w:rPr>
          <w:i/>
          <w:iCs/>
          <w:color w:val="000000"/>
          <w:sz w:val="24"/>
          <w:szCs w:val="24"/>
        </w:rPr>
        <w:t xml:space="preserve"> </w:t>
      </w:r>
      <w:r w:rsidRPr="00253420">
        <w:rPr>
          <w:color w:val="000000"/>
          <w:sz w:val="24"/>
          <w:szCs w:val="24"/>
        </w:rPr>
        <w:t xml:space="preserve">Their work is to facilitate the timely and safe deployment of infrastructure in the </w:t>
      </w:r>
      <w:r w:rsidRPr="0069105A">
        <w:rPr>
          <w:color w:val="000000"/>
          <w:sz w:val="24"/>
          <w:szCs w:val="24"/>
        </w:rPr>
        <w:t>ROW. However, at a minimum</w:t>
      </w:r>
      <w:r w:rsidRPr="00B547C3">
        <w:rPr>
          <w:color w:val="000000"/>
          <w:sz w:val="24"/>
          <w:szCs w:val="24"/>
        </w:rPr>
        <w:t>, any ROW manager’s travel costs should not be imposed on providers, and any costs from a contingency or results-based arrangement should not be imposed on providers.</w:t>
      </w:r>
    </w:p>
    <w:p w:rsidR="00507E21" w:rsidRPr="0069105A" w:rsidRDefault="00507E21" w:rsidP="00507E21">
      <w:pPr>
        <w:pStyle w:val="ListParagraph"/>
        <w:numPr>
          <w:ilvl w:val="1"/>
          <w:numId w:val="4"/>
        </w:numPr>
        <w:spacing w:after="0" w:line="240" w:lineRule="auto"/>
        <w:rPr>
          <w:color w:val="000000"/>
          <w:sz w:val="24"/>
          <w:szCs w:val="24"/>
        </w:rPr>
      </w:pPr>
      <w:r w:rsidRPr="0069105A">
        <w:rPr>
          <w:color w:val="000000"/>
          <w:sz w:val="24"/>
          <w:szCs w:val="24"/>
        </w:rPr>
        <w:t>Recommend pre-permitting discussions, similar to pre-construction meetings where project stakeholders meet to share information.  This may be particularly useful for facilitating bundling requests.</w:t>
      </w:r>
    </w:p>
    <w:p w:rsidR="00507E21" w:rsidRPr="0069105A" w:rsidRDefault="00507E21" w:rsidP="00507E21">
      <w:pPr>
        <w:pStyle w:val="ListParagraph"/>
        <w:numPr>
          <w:ilvl w:val="1"/>
          <w:numId w:val="4"/>
        </w:numPr>
        <w:spacing w:after="0" w:line="240" w:lineRule="auto"/>
        <w:rPr>
          <w:color w:val="000000"/>
          <w:sz w:val="24"/>
          <w:szCs w:val="24"/>
        </w:rPr>
      </w:pPr>
      <w:r w:rsidRPr="0069105A">
        <w:rPr>
          <w:color w:val="000000"/>
          <w:sz w:val="24"/>
          <w:szCs w:val="24"/>
        </w:rPr>
        <w:lastRenderedPageBreak/>
        <w:t>Recommend develop</w:t>
      </w:r>
      <w:r>
        <w:rPr>
          <w:color w:val="000000"/>
          <w:sz w:val="24"/>
          <w:szCs w:val="24"/>
        </w:rPr>
        <w:t>ing</w:t>
      </w:r>
      <w:r w:rsidRPr="0069105A">
        <w:rPr>
          <w:color w:val="000000"/>
          <w:sz w:val="24"/>
          <w:szCs w:val="24"/>
        </w:rPr>
        <w:t xml:space="preserve"> or establish</w:t>
      </w:r>
      <w:r>
        <w:rPr>
          <w:color w:val="000000"/>
          <w:sz w:val="24"/>
          <w:szCs w:val="24"/>
        </w:rPr>
        <w:t>ing</w:t>
      </w:r>
      <w:r w:rsidRPr="0069105A">
        <w:rPr>
          <w:color w:val="000000"/>
          <w:sz w:val="24"/>
          <w:szCs w:val="24"/>
        </w:rPr>
        <w:t xml:space="preserve"> a common set of definitions or terminology to facilitate information sharing.</w:t>
      </w:r>
    </w:p>
    <w:p w:rsidR="00507E21" w:rsidRPr="0069105A" w:rsidRDefault="00507E21" w:rsidP="00507E21">
      <w:pPr>
        <w:pStyle w:val="ListParagraph"/>
        <w:numPr>
          <w:ilvl w:val="1"/>
          <w:numId w:val="4"/>
        </w:numPr>
        <w:spacing w:after="0" w:line="240" w:lineRule="auto"/>
        <w:rPr>
          <w:color w:val="000000"/>
          <w:sz w:val="24"/>
          <w:szCs w:val="24"/>
        </w:rPr>
      </w:pPr>
      <w:r>
        <w:rPr>
          <w:color w:val="000000"/>
          <w:sz w:val="24"/>
          <w:szCs w:val="24"/>
        </w:rPr>
        <w:t>R</w:t>
      </w:r>
      <w:r w:rsidRPr="0069105A">
        <w:rPr>
          <w:color w:val="000000"/>
          <w:sz w:val="24"/>
          <w:szCs w:val="24"/>
        </w:rPr>
        <w:t xml:space="preserve">ecommend for new technologies the local government </w:t>
      </w:r>
      <w:r>
        <w:rPr>
          <w:color w:val="000000"/>
          <w:sz w:val="24"/>
          <w:szCs w:val="24"/>
        </w:rPr>
        <w:t>consider issuing</w:t>
      </w:r>
      <w:r w:rsidRPr="0069105A">
        <w:rPr>
          <w:color w:val="000000"/>
          <w:sz w:val="24"/>
          <w:szCs w:val="24"/>
        </w:rPr>
        <w:t xml:space="preserve"> RFI requesting further information on how to permit or process this technology or type of application.  </w:t>
      </w:r>
      <w:r w:rsidRPr="007D26F7">
        <w:rPr>
          <w:i/>
          <w:color w:val="000000"/>
          <w:sz w:val="24"/>
          <w:szCs w:val="24"/>
        </w:rPr>
        <w:t xml:space="preserve">Assuming </w:t>
      </w:r>
      <w:r>
        <w:rPr>
          <w:i/>
          <w:color w:val="000000"/>
          <w:sz w:val="24"/>
          <w:szCs w:val="24"/>
        </w:rPr>
        <w:t xml:space="preserve">that </w:t>
      </w:r>
      <w:r w:rsidRPr="007D26F7">
        <w:rPr>
          <w:i/>
          <w:color w:val="000000"/>
          <w:sz w:val="24"/>
          <w:szCs w:val="24"/>
        </w:rPr>
        <w:t xml:space="preserve">this technology is not outside the current </w:t>
      </w:r>
      <w:r w:rsidRPr="0097156B">
        <w:rPr>
          <w:i/>
          <w:color w:val="000000"/>
          <w:sz w:val="24"/>
          <w:szCs w:val="24"/>
        </w:rPr>
        <w:t>permitting</w:t>
      </w:r>
      <w:r w:rsidRPr="007D26F7">
        <w:rPr>
          <w:i/>
          <w:color w:val="000000"/>
          <w:sz w:val="24"/>
          <w:szCs w:val="24"/>
        </w:rPr>
        <w:t xml:space="preserve"> process,</w:t>
      </w:r>
      <w:r>
        <w:rPr>
          <w:color w:val="000000"/>
          <w:sz w:val="24"/>
          <w:szCs w:val="24"/>
        </w:rPr>
        <w:t xml:space="preserve"> </w:t>
      </w:r>
      <w:r>
        <w:rPr>
          <w:i/>
          <w:iCs/>
          <w:color w:val="000000"/>
          <w:sz w:val="24"/>
          <w:szCs w:val="24"/>
        </w:rPr>
        <w:t>t</w:t>
      </w:r>
      <w:r w:rsidRPr="00B547C3">
        <w:rPr>
          <w:i/>
          <w:iCs/>
          <w:color w:val="000000"/>
          <w:sz w:val="24"/>
          <w:szCs w:val="24"/>
        </w:rPr>
        <w:t xml:space="preserve">his must not </w:t>
      </w:r>
      <w:r>
        <w:rPr>
          <w:i/>
          <w:iCs/>
          <w:color w:val="000000"/>
          <w:sz w:val="24"/>
          <w:szCs w:val="24"/>
        </w:rPr>
        <w:t xml:space="preserve">unnecessarily </w:t>
      </w:r>
      <w:r w:rsidRPr="00B547C3">
        <w:rPr>
          <w:i/>
          <w:iCs/>
          <w:color w:val="000000"/>
          <w:sz w:val="24"/>
          <w:szCs w:val="24"/>
        </w:rPr>
        <w:t xml:space="preserve">delay the </w:t>
      </w:r>
      <w:r>
        <w:rPr>
          <w:i/>
          <w:iCs/>
          <w:color w:val="000000"/>
          <w:sz w:val="24"/>
          <w:szCs w:val="24"/>
        </w:rPr>
        <w:t>application</w:t>
      </w:r>
      <w:r w:rsidRPr="00B547C3">
        <w:rPr>
          <w:i/>
          <w:iCs/>
          <w:color w:val="000000"/>
          <w:sz w:val="24"/>
          <w:szCs w:val="24"/>
        </w:rPr>
        <w:t xml:space="preserve"> and must include specific timelines.</w:t>
      </w:r>
    </w:p>
    <w:p w:rsidR="00507E21" w:rsidRPr="007D26F7" w:rsidRDefault="00507E21" w:rsidP="00507E21">
      <w:pPr>
        <w:pStyle w:val="ListParagraph"/>
        <w:numPr>
          <w:ilvl w:val="0"/>
          <w:numId w:val="4"/>
        </w:numPr>
        <w:spacing w:after="0" w:line="240" w:lineRule="auto"/>
        <w:rPr>
          <w:b/>
          <w:sz w:val="24"/>
        </w:rPr>
      </w:pPr>
      <w:r w:rsidRPr="007D26F7">
        <w:rPr>
          <w:b/>
          <w:sz w:val="24"/>
        </w:rPr>
        <w:t>Lack of Process</w:t>
      </w:r>
    </w:p>
    <w:p w:rsidR="00507E21" w:rsidRPr="0069105A" w:rsidRDefault="00507E21" w:rsidP="00507E21">
      <w:pPr>
        <w:pStyle w:val="ListParagraph"/>
        <w:numPr>
          <w:ilvl w:val="1"/>
          <w:numId w:val="4"/>
        </w:numPr>
        <w:spacing w:after="0" w:line="240" w:lineRule="auto"/>
        <w:rPr>
          <w:sz w:val="24"/>
          <w:szCs w:val="24"/>
        </w:rPr>
      </w:pPr>
      <w:r w:rsidRPr="0069105A">
        <w:rPr>
          <w:sz w:val="24"/>
          <w:szCs w:val="24"/>
        </w:rPr>
        <w:t>Development and implementation of model codes and streamlined permitting processes to address the implementation of new technologies, processes and techniques.</w:t>
      </w:r>
    </w:p>
    <w:p w:rsidR="00507E21" w:rsidRPr="007D26F7" w:rsidRDefault="00507E21" w:rsidP="00507E21">
      <w:pPr>
        <w:pStyle w:val="ListParagraph"/>
        <w:numPr>
          <w:ilvl w:val="0"/>
          <w:numId w:val="4"/>
        </w:numPr>
        <w:spacing w:after="0" w:line="240" w:lineRule="auto"/>
        <w:rPr>
          <w:b/>
          <w:sz w:val="24"/>
        </w:rPr>
      </w:pPr>
      <w:r w:rsidRPr="007D26F7">
        <w:rPr>
          <w:b/>
          <w:sz w:val="24"/>
        </w:rPr>
        <w:t>Lack of Capacity</w:t>
      </w:r>
    </w:p>
    <w:p w:rsidR="00507E21" w:rsidRPr="009F08DA" w:rsidRDefault="00507E21" w:rsidP="00507E21">
      <w:pPr>
        <w:pStyle w:val="ListParagraph"/>
        <w:numPr>
          <w:ilvl w:val="1"/>
          <w:numId w:val="4"/>
        </w:numPr>
        <w:spacing w:after="0" w:line="240" w:lineRule="auto"/>
        <w:rPr>
          <w:color w:val="000000"/>
          <w:sz w:val="24"/>
          <w:szCs w:val="24"/>
        </w:rPr>
      </w:pPr>
      <w:r w:rsidRPr="00B547C3">
        <w:rPr>
          <w:color w:val="000000"/>
          <w:sz w:val="24"/>
          <w:szCs w:val="24"/>
        </w:rPr>
        <w:t>Recommend developing standards and process for bundling permits that streamlines the process but also meets both parties’ needs. Master agreements between cities and providers may be a starting point. Consider pulling out non-uniform issu</w:t>
      </w:r>
      <w:r w:rsidRPr="009F08DA">
        <w:rPr>
          <w:color w:val="000000"/>
          <w:sz w:val="24"/>
          <w:szCs w:val="24"/>
        </w:rPr>
        <w:t>es to be dealt with individually and let the standard items move forward.</w:t>
      </w:r>
    </w:p>
    <w:p w:rsidR="00507E21" w:rsidRPr="009776A8" w:rsidRDefault="00507E21" w:rsidP="00507E21">
      <w:pPr>
        <w:pStyle w:val="ListParagraph"/>
        <w:numPr>
          <w:ilvl w:val="1"/>
          <w:numId w:val="4"/>
        </w:numPr>
        <w:spacing w:after="0" w:line="240" w:lineRule="auto"/>
        <w:rPr>
          <w:color w:val="000000"/>
          <w:sz w:val="24"/>
          <w:szCs w:val="24"/>
        </w:rPr>
      </w:pPr>
      <w:r w:rsidRPr="009F08DA">
        <w:rPr>
          <w:color w:val="000000"/>
          <w:sz w:val="24"/>
          <w:szCs w:val="24"/>
        </w:rPr>
        <w:t>Consider adding a joint site-visit/drive-through as part of the pre-permitting process. If it is too time-consuming or the ROI is not clear to do this for every bundling/permitting r</w:t>
      </w:r>
      <w:r w:rsidRPr="009776A8">
        <w:rPr>
          <w:color w:val="000000"/>
          <w:sz w:val="24"/>
          <w:szCs w:val="24"/>
        </w:rPr>
        <w:t>equest, it could also be considered as a periodic component of a stakeholder education process.</w:t>
      </w:r>
    </w:p>
    <w:p w:rsidR="00507E21" w:rsidRPr="0069105A" w:rsidRDefault="00507E21" w:rsidP="00507E21">
      <w:pPr>
        <w:pStyle w:val="ListParagraph"/>
        <w:numPr>
          <w:ilvl w:val="1"/>
          <w:numId w:val="4"/>
        </w:numPr>
        <w:spacing w:after="0" w:line="240" w:lineRule="auto"/>
        <w:rPr>
          <w:color w:val="000000"/>
          <w:sz w:val="24"/>
          <w:szCs w:val="24"/>
        </w:rPr>
      </w:pPr>
      <w:r w:rsidRPr="009776A8">
        <w:rPr>
          <w:color w:val="000000"/>
          <w:sz w:val="24"/>
          <w:szCs w:val="24"/>
        </w:rPr>
        <w:t>Recommend examining opportunities for contracting and outsourcing to share responsibilities and manage workloads</w:t>
      </w:r>
      <w:r w:rsidRPr="00B222AE">
        <w:rPr>
          <w:color w:val="000000"/>
          <w:sz w:val="24"/>
          <w:szCs w:val="24"/>
        </w:rPr>
        <w:t>. Look for opportunities in the process that can help expedite permitting.  An example is the 811/call-before-you-dig system.  A similar system could be considered for evaluating pole readiness.</w:t>
      </w:r>
    </w:p>
    <w:p w:rsidR="00507E21" w:rsidRPr="007D26F7" w:rsidRDefault="00507E21" w:rsidP="00507E21">
      <w:pPr>
        <w:pStyle w:val="ListParagraph"/>
        <w:numPr>
          <w:ilvl w:val="0"/>
          <w:numId w:val="4"/>
        </w:numPr>
        <w:spacing w:after="0" w:line="240" w:lineRule="auto"/>
        <w:rPr>
          <w:b/>
          <w:sz w:val="24"/>
        </w:rPr>
      </w:pPr>
      <w:r w:rsidRPr="007D26F7">
        <w:rPr>
          <w:b/>
          <w:sz w:val="24"/>
        </w:rPr>
        <w:t>Lack of Agreement</w:t>
      </w:r>
    </w:p>
    <w:p w:rsidR="00507E21" w:rsidRPr="0069105A" w:rsidRDefault="00507E21" w:rsidP="00507E21">
      <w:pPr>
        <w:pStyle w:val="ListParagraph"/>
        <w:numPr>
          <w:ilvl w:val="1"/>
          <w:numId w:val="4"/>
        </w:numPr>
        <w:spacing w:after="0" w:line="240" w:lineRule="auto"/>
        <w:rPr>
          <w:sz w:val="24"/>
          <w:szCs w:val="24"/>
        </w:rPr>
      </w:pPr>
      <w:r w:rsidRPr="0069105A">
        <w:rPr>
          <w:sz w:val="24"/>
          <w:szCs w:val="24"/>
        </w:rPr>
        <w:t>Expectations need to be clearly and reasonably defined.</w:t>
      </w:r>
    </w:p>
    <w:p w:rsidR="00507E21" w:rsidRPr="00B547C3" w:rsidRDefault="00507E21" w:rsidP="00507E21">
      <w:pPr>
        <w:pStyle w:val="ListParagraph"/>
        <w:numPr>
          <w:ilvl w:val="1"/>
          <w:numId w:val="4"/>
        </w:numPr>
        <w:spacing w:after="0" w:line="240" w:lineRule="auto"/>
        <w:rPr>
          <w:sz w:val="24"/>
          <w:szCs w:val="24"/>
        </w:rPr>
      </w:pPr>
      <w:r>
        <w:rPr>
          <w:sz w:val="24"/>
          <w:szCs w:val="24"/>
        </w:rPr>
        <w:t>As noted elsewhere in the Working Group’s recommendation, the Commission should explore whether m</w:t>
      </w:r>
      <w:r w:rsidRPr="0069105A">
        <w:rPr>
          <w:sz w:val="24"/>
          <w:szCs w:val="24"/>
        </w:rPr>
        <w:t>ediation, arbitration or negotiat</w:t>
      </w:r>
      <w:r w:rsidRPr="00B547C3">
        <w:rPr>
          <w:sz w:val="24"/>
          <w:szCs w:val="24"/>
        </w:rPr>
        <w:t>ion by outside parties (example: state public utility commissions)</w:t>
      </w:r>
      <w:r>
        <w:rPr>
          <w:sz w:val="24"/>
          <w:szCs w:val="24"/>
        </w:rPr>
        <w:t>, will expedite dispute resolution and actually better facilitate deployment than the current litigation remedy.</w:t>
      </w:r>
    </w:p>
    <w:p w:rsidR="00507E21" w:rsidRPr="00B547C3" w:rsidRDefault="00507E21" w:rsidP="00507E21">
      <w:pPr>
        <w:pStyle w:val="ListParagraph"/>
        <w:spacing w:after="0" w:line="240" w:lineRule="auto"/>
        <w:ind w:left="1440"/>
        <w:rPr>
          <w:sz w:val="24"/>
          <w:szCs w:val="24"/>
        </w:rPr>
      </w:pPr>
    </w:p>
    <w:p w:rsidR="00507E21" w:rsidRPr="00B547C3" w:rsidRDefault="00507E21" w:rsidP="00507E21">
      <w:pPr>
        <w:pStyle w:val="ListParagraph"/>
        <w:spacing w:after="0" w:line="240" w:lineRule="auto"/>
        <w:ind w:left="0"/>
        <w:rPr>
          <w:b/>
          <w:bCs/>
          <w:smallCaps/>
          <w:sz w:val="24"/>
          <w:szCs w:val="24"/>
        </w:rPr>
      </w:pPr>
      <w:r w:rsidRPr="00B547C3">
        <w:rPr>
          <w:b/>
          <w:bCs/>
          <w:smallCaps/>
          <w:sz w:val="24"/>
          <w:szCs w:val="24"/>
        </w:rPr>
        <w:t>Additional Comments</w:t>
      </w:r>
      <w:r>
        <w:rPr>
          <w:b/>
          <w:bCs/>
          <w:smallCaps/>
          <w:sz w:val="24"/>
          <w:szCs w:val="24"/>
        </w:rPr>
        <w:t>.</w:t>
      </w:r>
    </w:p>
    <w:p w:rsidR="00507E21" w:rsidRPr="009776A8" w:rsidRDefault="00507E21" w:rsidP="00507E21">
      <w:pPr>
        <w:spacing w:after="0" w:line="240" w:lineRule="auto"/>
        <w:rPr>
          <w:b/>
          <w:i/>
          <w:sz w:val="24"/>
          <w:szCs w:val="24"/>
        </w:rPr>
      </w:pPr>
      <w:r w:rsidRPr="009F08DA">
        <w:rPr>
          <w:sz w:val="24"/>
          <w:szCs w:val="24"/>
        </w:rPr>
        <w:t>Preemptive actions were most often cited in the comments analyzed for this work.  These included shot clocks, preempting blanket moratoria, and allowing access without approval from local governments.  Preemption is covered more fully in a separate analysis</w:t>
      </w:r>
      <w:r>
        <w:rPr>
          <w:sz w:val="24"/>
          <w:szCs w:val="24"/>
        </w:rPr>
        <w:t xml:space="preserve"> (see Appendix G).</w:t>
      </w:r>
    </w:p>
    <w:p w:rsidR="00507E21" w:rsidRPr="009776A8" w:rsidRDefault="00507E21" w:rsidP="00507E21">
      <w:pPr>
        <w:spacing w:after="0" w:line="240" w:lineRule="auto"/>
        <w:rPr>
          <w:sz w:val="24"/>
          <w:szCs w:val="24"/>
        </w:rPr>
      </w:pPr>
    </w:p>
    <w:p w:rsidR="00507E21" w:rsidRPr="00253420" w:rsidRDefault="00507E21" w:rsidP="00507E21">
      <w:pPr>
        <w:spacing w:after="0" w:line="240" w:lineRule="auto"/>
        <w:rPr>
          <w:sz w:val="24"/>
          <w:szCs w:val="24"/>
        </w:rPr>
      </w:pPr>
      <w:r w:rsidRPr="0069105A">
        <w:rPr>
          <w:sz w:val="24"/>
          <w:szCs w:val="24"/>
        </w:rPr>
        <w:br w:type="page"/>
      </w:r>
    </w:p>
    <w:p w:rsidR="00507E21" w:rsidRPr="00253420" w:rsidRDefault="00507E21" w:rsidP="00507E21">
      <w:pPr>
        <w:spacing w:after="0" w:line="240" w:lineRule="auto"/>
        <w:jc w:val="center"/>
        <w:rPr>
          <w:b/>
          <w:bCs/>
          <w:caps/>
          <w:sz w:val="24"/>
          <w:szCs w:val="24"/>
        </w:rPr>
      </w:pPr>
      <w:r w:rsidRPr="00253420">
        <w:rPr>
          <w:b/>
          <w:bCs/>
          <w:caps/>
          <w:sz w:val="24"/>
          <w:szCs w:val="24"/>
        </w:rPr>
        <w:lastRenderedPageBreak/>
        <w:t>A</w:t>
      </w:r>
      <w:r>
        <w:rPr>
          <w:b/>
          <w:bCs/>
          <w:caps/>
          <w:sz w:val="24"/>
          <w:szCs w:val="24"/>
        </w:rPr>
        <w:t>ppendix</w:t>
      </w:r>
      <w:r w:rsidRPr="00253420">
        <w:rPr>
          <w:b/>
          <w:bCs/>
          <w:caps/>
          <w:sz w:val="24"/>
          <w:szCs w:val="24"/>
        </w:rPr>
        <w:t xml:space="preserve"> B</w:t>
      </w:r>
    </w:p>
    <w:p w:rsidR="00507E21" w:rsidRPr="00253420" w:rsidRDefault="00507E21" w:rsidP="00507E21">
      <w:pPr>
        <w:spacing w:after="0" w:line="240" w:lineRule="auto"/>
        <w:jc w:val="center"/>
        <w:rPr>
          <w:b/>
          <w:caps/>
          <w:sz w:val="24"/>
          <w:szCs w:val="24"/>
        </w:rPr>
      </w:pPr>
    </w:p>
    <w:p w:rsidR="00507E21" w:rsidRPr="00253420" w:rsidRDefault="00507E21" w:rsidP="00507E21">
      <w:pPr>
        <w:spacing w:after="0" w:line="240" w:lineRule="auto"/>
        <w:jc w:val="center"/>
        <w:rPr>
          <w:b/>
          <w:bCs/>
          <w:caps/>
          <w:sz w:val="24"/>
          <w:szCs w:val="24"/>
        </w:rPr>
      </w:pPr>
      <w:bookmarkStart w:id="2" w:name="b"/>
      <w:r w:rsidRPr="00253420">
        <w:rPr>
          <w:b/>
          <w:bCs/>
          <w:caps/>
          <w:sz w:val="24"/>
          <w:szCs w:val="24"/>
        </w:rPr>
        <w:t>Discrimination BARRIER</w:t>
      </w:r>
      <w:bookmarkEnd w:id="2"/>
      <w:r w:rsidRPr="00253420">
        <w:rPr>
          <w:b/>
          <w:bCs/>
          <w:caps/>
          <w:sz w:val="24"/>
          <w:szCs w:val="24"/>
        </w:rPr>
        <w:t>:</w:t>
      </w:r>
    </w:p>
    <w:p w:rsidR="00507E21" w:rsidRPr="00253420" w:rsidRDefault="00507E21" w:rsidP="00507E21">
      <w:pPr>
        <w:spacing w:after="0" w:line="240" w:lineRule="auto"/>
        <w:jc w:val="center"/>
        <w:rPr>
          <w:b/>
          <w:bCs/>
          <w:caps/>
          <w:sz w:val="24"/>
          <w:szCs w:val="24"/>
        </w:rPr>
      </w:pPr>
      <w:r w:rsidRPr="00253420">
        <w:rPr>
          <w:b/>
          <w:bCs/>
          <w:caps/>
          <w:sz w:val="24"/>
          <w:szCs w:val="24"/>
        </w:rPr>
        <w:t>ANALYSIS AND RECOMMENDATIONS</w:t>
      </w:r>
    </w:p>
    <w:p w:rsidR="00507E21" w:rsidRPr="00253420" w:rsidRDefault="00507E21" w:rsidP="00507E21">
      <w:pPr>
        <w:spacing w:after="0" w:line="240" w:lineRule="auto"/>
        <w:jc w:val="center"/>
        <w:rPr>
          <w:b/>
          <w:caps/>
          <w:sz w:val="24"/>
          <w:szCs w:val="24"/>
        </w:rPr>
      </w:pPr>
    </w:p>
    <w:p w:rsidR="00507E21" w:rsidRPr="0069105A" w:rsidRDefault="00507E21" w:rsidP="00507E21">
      <w:pPr>
        <w:spacing w:after="0" w:line="240" w:lineRule="auto"/>
        <w:rPr>
          <w:sz w:val="24"/>
          <w:szCs w:val="24"/>
        </w:rPr>
      </w:pPr>
      <w:r w:rsidRPr="00253420">
        <w:rPr>
          <w:b/>
          <w:bCs/>
          <w:smallCaps/>
          <w:sz w:val="24"/>
          <w:szCs w:val="24"/>
        </w:rPr>
        <w:t>Barrier Summary</w:t>
      </w:r>
      <w:r w:rsidRPr="00253420">
        <w:rPr>
          <w:b/>
          <w:bCs/>
          <w:i/>
          <w:iCs/>
          <w:sz w:val="24"/>
          <w:szCs w:val="24"/>
        </w:rPr>
        <w:t xml:space="preserve">. </w:t>
      </w:r>
      <w:r w:rsidRPr="002332DC">
        <w:rPr>
          <w:sz w:val="24"/>
          <w:szCs w:val="24"/>
        </w:rPr>
        <w:t xml:space="preserve">This barrier occurs when state or </w:t>
      </w:r>
      <w:r>
        <w:rPr>
          <w:sz w:val="24"/>
          <w:szCs w:val="24"/>
        </w:rPr>
        <w:t>local</w:t>
      </w:r>
      <w:r w:rsidRPr="002332DC">
        <w:rPr>
          <w:sz w:val="24"/>
          <w:szCs w:val="24"/>
        </w:rPr>
        <w:t xml:space="preserve"> authorities levy fees or impose obligations on broadband providers with insufficient transparency, which can result in discrimination among different network providers</w:t>
      </w:r>
    </w:p>
    <w:p w:rsidR="00507E21" w:rsidRPr="0069105A" w:rsidRDefault="00507E21" w:rsidP="00507E21">
      <w:pPr>
        <w:spacing w:after="0" w:line="240" w:lineRule="auto"/>
        <w:rPr>
          <w:sz w:val="24"/>
          <w:szCs w:val="24"/>
        </w:rPr>
      </w:pPr>
    </w:p>
    <w:p w:rsidR="00507E21" w:rsidRPr="00B222AE" w:rsidRDefault="00507E21" w:rsidP="00507E21">
      <w:pPr>
        <w:spacing w:after="0" w:line="240" w:lineRule="auto"/>
        <w:rPr>
          <w:sz w:val="24"/>
          <w:szCs w:val="24"/>
        </w:rPr>
      </w:pPr>
      <w:r w:rsidRPr="0069105A">
        <w:rPr>
          <w:b/>
          <w:bCs/>
          <w:smallCaps/>
          <w:sz w:val="24"/>
          <w:szCs w:val="24"/>
        </w:rPr>
        <w:t>Why This Barrier Arises</w:t>
      </w:r>
      <w:r w:rsidRPr="00B547C3">
        <w:rPr>
          <w:b/>
          <w:bCs/>
          <w:i/>
          <w:iCs/>
          <w:sz w:val="24"/>
          <w:szCs w:val="24"/>
        </w:rPr>
        <w:t xml:space="preserve">. </w:t>
      </w:r>
      <w:r w:rsidRPr="00B547C3">
        <w:rPr>
          <w:sz w:val="24"/>
          <w:szCs w:val="24"/>
        </w:rPr>
        <w:t xml:space="preserve">The potential for friction between </w:t>
      </w:r>
      <w:r>
        <w:rPr>
          <w:sz w:val="24"/>
          <w:szCs w:val="24"/>
        </w:rPr>
        <w:t>localities</w:t>
      </w:r>
      <w:r w:rsidRPr="00B547C3">
        <w:rPr>
          <w:sz w:val="24"/>
          <w:szCs w:val="24"/>
        </w:rPr>
        <w:t xml:space="preserve"> and network providers exists </w:t>
      </w:r>
      <w:r w:rsidRPr="009F08DA">
        <w:rPr>
          <w:sz w:val="24"/>
          <w:szCs w:val="24"/>
        </w:rPr>
        <w:t xml:space="preserve">in part because of competing economic interests. </w:t>
      </w:r>
      <w:r>
        <w:rPr>
          <w:sz w:val="24"/>
          <w:szCs w:val="24"/>
        </w:rPr>
        <w:t>Localities</w:t>
      </w:r>
      <w:r w:rsidRPr="009F08DA">
        <w:rPr>
          <w:sz w:val="24"/>
          <w:szCs w:val="24"/>
        </w:rPr>
        <w:t xml:space="preserve"> have an obligation to properly maintain</w:t>
      </w:r>
      <w:r w:rsidRPr="009776A8">
        <w:rPr>
          <w:sz w:val="24"/>
          <w:szCs w:val="24"/>
        </w:rPr>
        <w:t xml:space="preserve">, manage and update public infrastructure and </w:t>
      </w:r>
      <w:r w:rsidRPr="00B222AE">
        <w:rPr>
          <w:sz w:val="24"/>
          <w:szCs w:val="24"/>
        </w:rPr>
        <w:t xml:space="preserve">balance competing interests in the public ROW (e.g., water, sewer, and electricity).  They need to raise the funds in order to do so—either from taxpayers or from the companies that use the public ROW and some </w:t>
      </w:r>
      <w:r>
        <w:rPr>
          <w:sz w:val="24"/>
          <w:szCs w:val="24"/>
        </w:rPr>
        <w:t>localities</w:t>
      </w:r>
      <w:r w:rsidRPr="00B222AE">
        <w:rPr>
          <w:sz w:val="24"/>
          <w:szCs w:val="24"/>
        </w:rPr>
        <w:t xml:space="preserve"> seek to use ROW and attachment fees to generate revenues for </w:t>
      </w:r>
      <w:r>
        <w:rPr>
          <w:sz w:val="24"/>
          <w:szCs w:val="24"/>
        </w:rPr>
        <w:t>purposes unrelated to broadband deployment.</w:t>
      </w:r>
      <w:r w:rsidRPr="0069105A">
        <w:rPr>
          <w:sz w:val="24"/>
          <w:szCs w:val="24"/>
        </w:rPr>
        <w:t xml:space="preserve"> Companies want to quickly deploy technology on these public rights of way at the lowest cost possible, on the quickest timeline, with </w:t>
      </w:r>
      <w:r w:rsidRPr="00B547C3">
        <w:rPr>
          <w:sz w:val="24"/>
          <w:szCs w:val="24"/>
        </w:rPr>
        <w:t>minimal regulatory</w:t>
      </w:r>
      <w:r>
        <w:rPr>
          <w:sz w:val="24"/>
          <w:szCs w:val="24"/>
        </w:rPr>
        <w:t xml:space="preserve"> </w:t>
      </w:r>
      <w:r w:rsidRPr="00B547C3">
        <w:rPr>
          <w:sz w:val="24"/>
          <w:szCs w:val="24"/>
        </w:rPr>
        <w:t>delay</w:t>
      </w:r>
      <w:r w:rsidRPr="009F08DA">
        <w:rPr>
          <w:sz w:val="24"/>
          <w:szCs w:val="24"/>
        </w:rPr>
        <w:t xml:space="preserve">. Additionally, </w:t>
      </w:r>
      <w:r w:rsidRPr="009776A8">
        <w:rPr>
          <w:sz w:val="24"/>
          <w:szCs w:val="24"/>
        </w:rPr>
        <w:t xml:space="preserve">some local governments </w:t>
      </w:r>
      <w:r>
        <w:rPr>
          <w:sz w:val="24"/>
          <w:szCs w:val="24"/>
        </w:rPr>
        <w:t>believe</w:t>
      </w:r>
      <w:r w:rsidRPr="00B222AE">
        <w:rPr>
          <w:sz w:val="24"/>
          <w:szCs w:val="24"/>
        </w:rPr>
        <w:t xml:space="preserve"> that they are required to charge what they consider to be “fair market rates” for public infrastructure while industry often</w:t>
      </w:r>
      <w:r>
        <w:rPr>
          <w:sz w:val="24"/>
          <w:szCs w:val="24"/>
        </w:rPr>
        <w:t xml:space="preserve"> disagrees that this is required and</w:t>
      </w:r>
      <w:r w:rsidRPr="00B222AE">
        <w:rPr>
          <w:sz w:val="24"/>
          <w:szCs w:val="24"/>
        </w:rPr>
        <w:t xml:space="preserve"> seeks “at cost” pricing.  These competing interests create natural conflict. </w:t>
      </w:r>
    </w:p>
    <w:p w:rsidR="00507E21" w:rsidRPr="00B222AE" w:rsidRDefault="00507E21" w:rsidP="00507E21">
      <w:pPr>
        <w:pStyle w:val="ListParagraph"/>
        <w:spacing w:after="0" w:line="240" w:lineRule="auto"/>
        <w:rPr>
          <w:sz w:val="24"/>
          <w:szCs w:val="24"/>
        </w:rPr>
      </w:pPr>
    </w:p>
    <w:p w:rsidR="00507E21" w:rsidRPr="00B222AE" w:rsidRDefault="00507E21" w:rsidP="00507E21">
      <w:pPr>
        <w:spacing w:after="0" w:line="240" w:lineRule="auto"/>
        <w:rPr>
          <w:sz w:val="24"/>
          <w:szCs w:val="24"/>
        </w:rPr>
      </w:pPr>
      <w:r w:rsidRPr="0069105A">
        <w:rPr>
          <w:sz w:val="24"/>
          <w:szCs w:val="24"/>
        </w:rPr>
        <w:t>Discrimination does not occur in all states</w:t>
      </w:r>
      <w:r>
        <w:rPr>
          <w:sz w:val="24"/>
          <w:szCs w:val="24"/>
        </w:rPr>
        <w:t xml:space="preserve"> or</w:t>
      </w:r>
      <w:r w:rsidRPr="0069105A">
        <w:rPr>
          <w:sz w:val="24"/>
          <w:szCs w:val="24"/>
        </w:rPr>
        <w:t xml:space="preserve"> </w:t>
      </w:r>
      <w:r>
        <w:rPr>
          <w:sz w:val="24"/>
          <w:szCs w:val="24"/>
        </w:rPr>
        <w:t>localities</w:t>
      </w:r>
      <w:r w:rsidRPr="0069105A">
        <w:rPr>
          <w:sz w:val="24"/>
          <w:szCs w:val="24"/>
        </w:rPr>
        <w:t xml:space="preserve">. However, it is </w:t>
      </w:r>
      <w:r>
        <w:rPr>
          <w:sz w:val="24"/>
          <w:szCs w:val="24"/>
        </w:rPr>
        <w:t>often</w:t>
      </w:r>
      <w:r w:rsidRPr="0069105A">
        <w:rPr>
          <w:sz w:val="24"/>
          <w:szCs w:val="24"/>
        </w:rPr>
        <w:t xml:space="preserve"> found </w:t>
      </w:r>
      <w:r>
        <w:rPr>
          <w:sz w:val="24"/>
          <w:szCs w:val="24"/>
        </w:rPr>
        <w:t>when</w:t>
      </w:r>
      <w:r w:rsidRPr="0069105A">
        <w:rPr>
          <w:sz w:val="24"/>
          <w:szCs w:val="24"/>
        </w:rPr>
        <w:t xml:space="preserve"> the process to accessing ROWs is opaque and obligations, fees and other rules are not clearly defined.</w:t>
      </w:r>
      <w:r>
        <w:rPr>
          <w:sz w:val="24"/>
          <w:szCs w:val="24"/>
        </w:rPr>
        <w:t xml:space="preserve"> T</w:t>
      </w:r>
      <w:r w:rsidRPr="00B222AE">
        <w:rPr>
          <w:sz w:val="24"/>
          <w:szCs w:val="24"/>
        </w:rPr>
        <w:t xml:space="preserve">he barrier is worsened in cities and states where there is little transparency or public information on the </w:t>
      </w:r>
      <w:r>
        <w:rPr>
          <w:sz w:val="24"/>
          <w:szCs w:val="24"/>
        </w:rPr>
        <w:t>fees</w:t>
      </w:r>
      <w:r w:rsidRPr="00B222AE">
        <w:rPr>
          <w:sz w:val="24"/>
          <w:szCs w:val="24"/>
        </w:rPr>
        <w:t xml:space="preserve"> and obligations of accessing public rights of way.  This lack of transparency in how fees and obligations are levied creates an environment of distrust and creates the potential for discriminatory and unequal treatment </w:t>
      </w:r>
      <w:r>
        <w:rPr>
          <w:sz w:val="24"/>
          <w:szCs w:val="24"/>
        </w:rPr>
        <w:t>between</w:t>
      </w:r>
      <w:r w:rsidRPr="00B222AE">
        <w:rPr>
          <w:sz w:val="24"/>
          <w:szCs w:val="24"/>
        </w:rPr>
        <w:t xml:space="preserve"> providers.  </w:t>
      </w:r>
    </w:p>
    <w:p w:rsidR="00507E21" w:rsidRPr="00B222AE" w:rsidRDefault="00507E21" w:rsidP="00507E21">
      <w:pPr>
        <w:pStyle w:val="ListParagraph"/>
        <w:spacing w:after="0" w:line="240" w:lineRule="auto"/>
        <w:ind w:left="0"/>
        <w:rPr>
          <w:sz w:val="24"/>
          <w:szCs w:val="24"/>
        </w:rPr>
      </w:pPr>
    </w:p>
    <w:p w:rsidR="00507E21" w:rsidRPr="00253420" w:rsidRDefault="00507E21" w:rsidP="00507E21">
      <w:pPr>
        <w:pStyle w:val="ListParagraph"/>
        <w:spacing w:after="0" w:line="240" w:lineRule="auto"/>
        <w:ind w:left="0"/>
        <w:rPr>
          <w:sz w:val="24"/>
          <w:szCs w:val="24"/>
        </w:rPr>
      </w:pPr>
      <w:r w:rsidRPr="00B222AE">
        <w:rPr>
          <w:sz w:val="24"/>
          <w:szCs w:val="24"/>
        </w:rPr>
        <w:t xml:space="preserve">Lack of transparency can be driven by several factors: 1) cities not having permitting frameworks for </w:t>
      </w:r>
      <w:r w:rsidRPr="00B10A70">
        <w:rPr>
          <w:sz w:val="24"/>
          <w:szCs w:val="24"/>
        </w:rPr>
        <w:t>new technologies 2) few</w:t>
      </w:r>
      <w:r w:rsidRPr="00253420">
        <w:rPr>
          <w:sz w:val="24"/>
          <w:szCs w:val="24"/>
        </w:rPr>
        <w:t xml:space="preserve"> reference points as new technology emerges and 3) the lack of internal resources to properly support and manage ROW access requests.  Additionally, pricing models are sometimes outdated as they reference previous generations of networks; and </w:t>
      </w:r>
      <w:r>
        <w:rPr>
          <w:sz w:val="24"/>
          <w:szCs w:val="24"/>
        </w:rPr>
        <w:t>c</w:t>
      </w:r>
      <w:r w:rsidRPr="00253420">
        <w:rPr>
          <w:sz w:val="24"/>
          <w:szCs w:val="24"/>
        </w:rPr>
        <w:t>ities</w:t>
      </w:r>
      <w:r>
        <w:rPr>
          <w:sz w:val="24"/>
          <w:szCs w:val="24"/>
        </w:rPr>
        <w:t xml:space="preserve"> and local governments</w:t>
      </w:r>
      <w:r w:rsidRPr="00253420">
        <w:rPr>
          <w:sz w:val="24"/>
          <w:szCs w:val="24"/>
        </w:rPr>
        <w:t xml:space="preserve">, especially smaller ones, may lack capacity to update pricing.  </w:t>
      </w:r>
    </w:p>
    <w:p w:rsidR="00507E21" w:rsidRPr="00253420" w:rsidRDefault="00507E21" w:rsidP="00507E21">
      <w:pPr>
        <w:pStyle w:val="ListParagraph"/>
        <w:spacing w:after="0" w:line="240" w:lineRule="auto"/>
        <w:ind w:left="0"/>
        <w:rPr>
          <w:sz w:val="24"/>
          <w:szCs w:val="24"/>
        </w:rPr>
      </w:pPr>
    </w:p>
    <w:p w:rsidR="00507E21" w:rsidRPr="002332DC" w:rsidRDefault="00507E21" w:rsidP="00507E21">
      <w:pPr>
        <w:pStyle w:val="ListParagraph"/>
        <w:spacing w:after="0" w:line="240" w:lineRule="auto"/>
        <w:ind w:left="0"/>
        <w:rPr>
          <w:b/>
          <w:i/>
          <w:sz w:val="24"/>
          <w:szCs w:val="24"/>
        </w:rPr>
      </w:pPr>
      <w:r w:rsidRPr="00253420">
        <w:rPr>
          <w:sz w:val="24"/>
          <w:szCs w:val="24"/>
        </w:rPr>
        <w:t xml:space="preserve">There are also cases cited in comments of industry purposely requesting excessive numbers of permits to overload or lock in assets early to prevent competition from competitors, which adds to the </w:t>
      </w:r>
      <w:r w:rsidRPr="002332DC">
        <w:rPr>
          <w:sz w:val="24"/>
          <w:szCs w:val="24"/>
        </w:rPr>
        <w:t>environment of distrust between local governments and providers.</w:t>
      </w:r>
    </w:p>
    <w:p w:rsidR="00507E21" w:rsidRPr="002332DC" w:rsidRDefault="00507E21" w:rsidP="00507E21">
      <w:pPr>
        <w:spacing w:after="0" w:line="240" w:lineRule="auto"/>
        <w:rPr>
          <w:sz w:val="24"/>
          <w:szCs w:val="24"/>
        </w:rPr>
      </w:pPr>
    </w:p>
    <w:p w:rsidR="00507E21" w:rsidRPr="002332DC" w:rsidRDefault="00507E21" w:rsidP="00507E21">
      <w:pPr>
        <w:spacing w:after="0" w:line="240" w:lineRule="auto"/>
        <w:rPr>
          <w:sz w:val="24"/>
          <w:szCs w:val="24"/>
        </w:rPr>
      </w:pPr>
      <w:r w:rsidRPr="002332DC">
        <w:rPr>
          <w:sz w:val="24"/>
          <w:szCs w:val="24"/>
        </w:rPr>
        <w:t>Discrimination can occur in two ways:</w:t>
      </w:r>
    </w:p>
    <w:p w:rsidR="00507E21" w:rsidRPr="002332DC" w:rsidRDefault="00507E21" w:rsidP="00507E21">
      <w:pPr>
        <w:pStyle w:val="ListParagraph"/>
        <w:numPr>
          <w:ilvl w:val="0"/>
          <w:numId w:val="3"/>
        </w:numPr>
        <w:spacing w:after="0" w:line="240" w:lineRule="auto"/>
        <w:rPr>
          <w:b/>
          <w:i/>
          <w:sz w:val="24"/>
          <w:szCs w:val="24"/>
        </w:rPr>
      </w:pPr>
      <w:r w:rsidRPr="002332DC">
        <w:rPr>
          <w:i/>
          <w:iCs/>
          <w:sz w:val="24"/>
          <w:szCs w:val="24"/>
        </w:rPr>
        <w:t>Unintentional</w:t>
      </w:r>
      <w:r w:rsidRPr="002332DC">
        <w:rPr>
          <w:sz w:val="24"/>
          <w:szCs w:val="24"/>
        </w:rPr>
        <w:t xml:space="preserve">. States and </w:t>
      </w:r>
      <w:r>
        <w:rPr>
          <w:sz w:val="24"/>
          <w:szCs w:val="24"/>
        </w:rPr>
        <w:t>localities</w:t>
      </w:r>
      <w:r w:rsidRPr="002332DC">
        <w:rPr>
          <w:sz w:val="24"/>
          <w:szCs w:val="24"/>
        </w:rPr>
        <w:t xml:space="preserve"> may lack the dedicated resources to creating a transparent and consistent framework of fees and obligations for access to ROWs.  Cities may not have adequate personnel to review and determine the appropriate fees </w:t>
      </w:r>
      <w:r w:rsidRPr="002332DC">
        <w:rPr>
          <w:sz w:val="24"/>
          <w:szCs w:val="24"/>
        </w:rPr>
        <w:lastRenderedPageBreak/>
        <w:t xml:space="preserve">and those individuals may lack subject matter expertise, which can unintentionally create barriers and an unequal playing field between providers. </w:t>
      </w:r>
    </w:p>
    <w:p w:rsidR="00507E21" w:rsidRPr="0069105A" w:rsidRDefault="00507E21" w:rsidP="00507E21">
      <w:pPr>
        <w:pStyle w:val="ListParagraph"/>
        <w:numPr>
          <w:ilvl w:val="0"/>
          <w:numId w:val="3"/>
        </w:numPr>
        <w:spacing w:after="0" w:line="240" w:lineRule="auto"/>
        <w:rPr>
          <w:sz w:val="24"/>
          <w:szCs w:val="24"/>
        </w:rPr>
      </w:pPr>
      <w:r w:rsidRPr="002332DC">
        <w:rPr>
          <w:i/>
          <w:iCs/>
          <w:sz w:val="24"/>
          <w:szCs w:val="24"/>
        </w:rPr>
        <w:t>Intentional</w:t>
      </w:r>
      <w:r w:rsidRPr="002332DC">
        <w:rPr>
          <w:sz w:val="24"/>
          <w:szCs w:val="24"/>
        </w:rPr>
        <w:t xml:space="preserve">. In select cases, states and </w:t>
      </w:r>
      <w:r>
        <w:rPr>
          <w:sz w:val="24"/>
          <w:szCs w:val="24"/>
        </w:rPr>
        <w:t>localities</w:t>
      </w:r>
      <w:r w:rsidRPr="002332DC">
        <w:rPr>
          <w:sz w:val="24"/>
          <w:szCs w:val="24"/>
        </w:rPr>
        <w:t xml:space="preserve"> may use the process of accessing ROWs to extract fees from providers as a means to generate revenue. Some may treat providers differently based on technologies, or arbitrarily, in order to extract more fees and obligations. While there are no accurate counts on the frequency of this behavior, industry cites numerous examples through submitted comments.  </w:t>
      </w:r>
    </w:p>
    <w:p w:rsidR="00507E21" w:rsidRPr="0069105A" w:rsidRDefault="00507E21" w:rsidP="00507E21">
      <w:pPr>
        <w:spacing w:after="0" w:line="240" w:lineRule="auto"/>
        <w:rPr>
          <w:sz w:val="24"/>
          <w:szCs w:val="24"/>
        </w:rPr>
      </w:pPr>
    </w:p>
    <w:p w:rsidR="00507E21" w:rsidRPr="00B547C3" w:rsidRDefault="00507E21" w:rsidP="00507E21">
      <w:pPr>
        <w:spacing w:after="0" w:line="240" w:lineRule="auto"/>
        <w:outlineLvl w:val="0"/>
        <w:rPr>
          <w:sz w:val="24"/>
          <w:szCs w:val="24"/>
        </w:rPr>
      </w:pPr>
      <w:r w:rsidRPr="0069105A">
        <w:rPr>
          <w:b/>
          <w:bCs/>
          <w:smallCaps/>
          <w:sz w:val="24"/>
          <w:szCs w:val="24"/>
        </w:rPr>
        <w:t>Recommendations</w:t>
      </w:r>
      <w:r w:rsidRPr="0069105A">
        <w:rPr>
          <w:b/>
          <w:bCs/>
          <w:i/>
          <w:iCs/>
          <w:sz w:val="24"/>
          <w:szCs w:val="24"/>
        </w:rPr>
        <w:t xml:space="preserve">. </w:t>
      </w:r>
    </w:p>
    <w:p w:rsidR="00507E21" w:rsidRPr="009776A8" w:rsidRDefault="00507E21" w:rsidP="00507E21">
      <w:pPr>
        <w:pStyle w:val="ListParagraph"/>
        <w:numPr>
          <w:ilvl w:val="0"/>
          <w:numId w:val="2"/>
        </w:numPr>
        <w:spacing w:after="0" w:line="240" w:lineRule="auto"/>
        <w:rPr>
          <w:sz w:val="24"/>
          <w:szCs w:val="24"/>
        </w:rPr>
      </w:pPr>
      <w:r w:rsidRPr="00507CA7">
        <w:rPr>
          <w:b/>
          <w:sz w:val="24"/>
        </w:rPr>
        <w:t>Be Technology-Agnostic</w:t>
      </w:r>
      <w:r w:rsidRPr="00B547C3">
        <w:rPr>
          <w:sz w:val="24"/>
          <w:szCs w:val="24"/>
        </w:rPr>
        <w:t xml:space="preserve">. Increasing broadband deployment means recognizing that </w:t>
      </w:r>
      <w:r w:rsidRPr="009F08DA">
        <w:rPr>
          <w:sz w:val="24"/>
          <w:szCs w:val="24"/>
        </w:rPr>
        <w:t xml:space="preserve">broadband, to the home or to the consumer, will be delivered in </w:t>
      </w:r>
      <w:r>
        <w:rPr>
          <w:sz w:val="24"/>
          <w:szCs w:val="24"/>
        </w:rPr>
        <w:t>various</w:t>
      </w:r>
      <w:r w:rsidRPr="009F08DA">
        <w:rPr>
          <w:sz w:val="24"/>
          <w:szCs w:val="24"/>
        </w:rPr>
        <w:t xml:space="preserve"> ways: fixed wireline, fixed wireless, and mobile. Accessing ROWs to deploy broadband networks is critical, regardless of the type of technology used to deliver broadband to the consumer. The FCC should encourage states</w:t>
      </w:r>
      <w:r>
        <w:rPr>
          <w:sz w:val="24"/>
          <w:szCs w:val="24"/>
        </w:rPr>
        <w:t xml:space="preserve"> and local</w:t>
      </w:r>
      <w:r w:rsidRPr="009F08DA">
        <w:rPr>
          <w:sz w:val="24"/>
          <w:szCs w:val="24"/>
        </w:rPr>
        <w:t xml:space="preserve"> authorities to review their policies regarding ROWs access to encourage policies that are technology neutral so that local policies don’t have the unintentional effect of</w:t>
      </w:r>
      <w:r w:rsidRPr="009776A8">
        <w:rPr>
          <w:sz w:val="24"/>
          <w:szCs w:val="24"/>
        </w:rPr>
        <w:t xml:space="preserve"> picking winners and losers in broadband deployment technologies. The FCC should encourage local governments to not create policies that clearly confer a competitive advantage to one technology or set of providers over another. </w:t>
      </w:r>
    </w:p>
    <w:p w:rsidR="00507E21" w:rsidRPr="00DD4200" w:rsidRDefault="00507E21" w:rsidP="00507E21">
      <w:pPr>
        <w:pStyle w:val="ListParagraph"/>
        <w:numPr>
          <w:ilvl w:val="0"/>
          <w:numId w:val="2"/>
        </w:numPr>
        <w:spacing w:after="0" w:line="240" w:lineRule="auto"/>
        <w:rPr>
          <w:i/>
          <w:sz w:val="24"/>
          <w:szCs w:val="24"/>
        </w:rPr>
      </w:pPr>
      <w:r w:rsidRPr="00507CA7">
        <w:rPr>
          <w:b/>
          <w:sz w:val="24"/>
        </w:rPr>
        <w:t>Encourage Transparency</w:t>
      </w:r>
      <w:r w:rsidRPr="00DD4200">
        <w:rPr>
          <w:sz w:val="24"/>
          <w:szCs w:val="24"/>
        </w:rPr>
        <w:t>. Discrimination often occurs when there is little to no information available to providers to help them understand the types of fees and obligations that may be levied in order for them to access ROWs. A lack of transparency creates opportunities for providers to be treated differently, even if they are providing similar services or seeking similar access, and not placing an additional burden on the ROW. Additionally, where economically justified</w:t>
      </w:r>
      <w:r>
        <w:rPr>
          <w:sz w:val="24"/>
          <w:szCs w:val="24"/>
        </w:rPr>
        <w:t>,</w:t>
      </w:r>
      <w:r w:rsidRPr="00DD4200">
        <w:rPr>
          <w:sz w:val="24"/>
          <w:szCs w:val="24"/>
        </w:rPr>
        <w:t xml:space="preserve"> states and </w:t>
      </w:r>
      <w:r>
        <w:rPr>
          <w:sz w:val="24"/>
          <w:szCs w:val="24"/>
        </w:rPr>
        <w:t>localities</w:t>
      </w:r>
      <w:r w:rsidRPr="00DD4200">
        <w:rPr>
          <w:sz w:val="24"/>
          <w:szCs w:val="24"/>
        </w:rPr>
        <w:t xml:space="preserve"> should balance the fees charged to earlier entrants with those of later ROW entrants to ensure technology neutrality and nondiscrimination. We recommend that states and </w:t>
      </w:r>
      <w:r>
        <w:rPr>
          <w:sz w:val="24"/>
          <w:szCs w:val="24"/>
        </w:rPr>
        <w:t xml:space="preserve">local authorities </w:t>
      </w:r>
      <w:r w:rsidRPr="00DD4200">
        <w:rPr>
          <w:sz w:val="24"/>
          <w:szCs w:val="24"/>
        </w:rPr>
        <w:t xml:space="preserve">work to create tools that allow for transparency in fees such as published rates on city websites for access to various right-of-way assets. Additionally, making public the formula or approach to calculating fees and obligations used by states and </w:t>
      </w:r>
      <w:r>
        <w:rPr>
          <w:sz w:val="24"/>
          <w:szCs w:val="24"/>
        </w:rPr>
        <w:t>localities</w:t>
      </w:r>
      <w:r w:rsidRPr="00DD4200">
        <w:rPr>
          <w:sz w:val="24"/>
          <w:szCs w:val="24"/>
        </w:rPr>
        <w:t xml:space="preserve"> to any provider that seeks access to ROWs would be immensely helpful in creating trust, goodwill, and better help providers accurately plan capital investments in additional broadband deployment</w:t>
      </w:r>
      <w:r w:rsidRPr="00DD4200">
        <w:rPr>
          <w:i/>
          <w:iCs/>
          <w:sz w:val="24"/>
          <w:szCs w:val="24"/>
        </w:rPr>
        <w:t xml:space="preserve">. </w:t>
      </w:r>
    </w:p>
    <w:p w:rsidR="00507E21" w:rsidRPr="002332DC" w:rsidRDefault="00507E21" w:rsidP="00507E21">
      <w:pPr>
        <w:pStyle w:val="ListParagraph"/>
        <w:numPr>
          <w:ilvl w:val="0"/>
          <w:numId w:val="2"/>
        </w:numPr>
        <w:spacing w:after="0" w:line="240" w:lineRule="auto"/>
        <w:rPr>
          <w:caps/>
          <w:sz w:val="24"/>
          <w:szCs w:val="24"/>
        </w:rPr>
      </w:pPr>
      <w:r w:rsidRPr="00507CA7">
        <w:rPr>
          <w:b/>
          <w:sz w:val="24"/>
        </w:rPr>
        <w:t>Discriminatory Treatment Should be Looked at Holistically</w:t>
      </w:r>
      <w:r w:rsidRPr="00253420">
        <w:rPr>
          <w:i/>
          <w:iCs/>
          <w:sz w:val="24"/>
          <w:szCs w:val="24"/>
        </w:rPr>
        <w:t>.</w:t>
      </w:r>
      <w:r w:rsidRPr="00253420">
        <w:rPr>
          <w:sz w:val="24"/>
          <w:szCs w:val="24"/>
        </w:rPr>
        <w:t xml:space="preserve"> When discrimination occurs, it is often not a single occurrence. In order to better understand whether there is a pattern of intentional or unintentional discrimination, we recommend that states</w:t>
      </w:r>
      <w:r>
        <w:rPr>
          <w:sz w:val="24"/>
          <w:szCs w:val="24"/>
        </w:rPr>
        <w:t xml:space="preserve"> and local</w:t>
      </w:r>
      <w:r w:rsidRPr="00253420">
        <w:rPr>
          <w:sz w:val="24"/>
          <w:szCs w:val="24"/>
        </w:rPr>
        <w:t xml:space="preserve"> authorities take a holistic view of the fees being levied </w:t>
      </w:r>
      <w:r>
        <w:rPr>
          <w:sz w:val="24"/>
          <w:szCs w:val="24"/>
        </w:rPr>
        <w:t xml:space="preserve">and obligations being imposed </w:t>
      </w:r>
      <w:r w:rsidRPr="00253420">
        <w:rPr>
          <w:sz w:val="24"/>
          <w:szCs w:val="24"/>
        </w:rPr>
        <w:t>on providers. Taking a holistic view can help determine whether or not impr</w:t>
      </w:r>
      <w:r w:rsidRPr="00397926">
        <w:rPr>
          <w:sz w:val="24"/>
          <w:szCs w:val="24"/>
        </w:rPr>
        <w:t xml:space="preserve">oper </w:t>
      </w:r>
      <w:r w:rsidRPr="002332DC">
        <w:rPr>
          <w:sz w:val="24"/>
          <w:szCs w:val="24"/>
        </w:rPr>
        <w:t xml:space="preserve">discriminatory practices are being employed and how a provider is being treated across its efforts to provide its services. </w:t>
      </w:r>
    </w:p>
    <w:p w:rsidR="00507E21" w:rsidRPr="002332DC" w:rsidRDefault="00507E21" w:rsidP="00507E21">
      <w:pPr>
        <w:pStyle w:val="ListParagraph"/>
        <w:numPr>
          <w:ilvl w:val="0"/>
          <w:numId w:val="2"/>
        </w:numPr>
        <w:spacing w:after="0" w:line="240" w:lineRule="auto"/>
        <w:rPr>
          <w:caps/>
          <w:sz w:val="24"/>
          <w:szCs w:val="24"/>
        </w:rPr>
      </w:pPr>
      <w:r w:rsidRPr="00507CA7">
        <w:rPr>
          <w:b/>
          <w:sz w:val="24"/>
        </w:rPr>
        <w:t>Encourage Education and Capacity-</w:t>
      </w:r>
      <w:r>
        <w:rPr>
          <w:b/>
          <w:iCs/>
          <w:sz w:val="24"/>
          <w:szCs w:val="24"/>
        </w:rPr>
        <w:t>B</w:t>
      </w:r>
      <w:r w:rsidRPr="00507CA7">
        <w:rPr>
          <w:b/>
          <w:sz w:val="24"/>
        </w:rPr>
        <w:t>uilding for State and Local Government</w:t>
      </w:r>
      <w:r w:rsidRPr="002332DC">
        <w:rPr>
          <w:sz w:val="24"/>
          <w:szCs w:val="24"/>
        </w:rPr>
        <w:t xml:space="preserve">. Broadband has widespread economic benefits, and can boost educational and job opportunities for Americans.  Working together, industry, states, and </w:t>
      </w:r>
      <w:r>
        <w:rPr>
          <w:sz w:val="24"/>
          <w:szCs w:val="24"/>
        </w:rPr>
        <w:t>localities</w:t>
      </w:r>
      <w:r w:rsidRPr="002332DC">
        <w:rPr>
          <w:sz w:val="24"/>
          <w:szCs w:val="24"/>
        </w:rPr>
        <w:t xml:space="preserve"> that have built successful model codes to speed broadband deployment that work for all sides </w:t>
      </w:r>
      <w:r w:rsidRPr="002332DC">
        <w:rPr>
          <w:sz w:val="24"/>
          <w:szCs w:val="24"/>
        </w:rPr>
        <w:lastRenderedPageBreak/>
        <w:t xml:space="preserve">should systematically share lessons </w:t>
      </w:r>
      <w:r>
        <w:rPr>
          <w:sz w:val="24"/>
          <w:szCs w:val="24"/>
        </w:rPr>
        <w:t>acquired</w:t>
      </w:r>
      <w:r w:rsidRPr="002332DC" w:rsidDel="0023436B">
        <w:rPr>
          <w:sz w:val="24"/>
          <w:szCs w:val="24"/>
        </w:rPr>
        <w:t xml:space="preserve"> </w:t>
      </w:r>
      <w:r w:rsidRPr="002332DC">
        <w:rPr>
          <w:sz w:val="24"/>
          <w:szCs w:val="24"/>
        </w:rPr>
        <w:t xml:space="preserve">broadly.  Simple principles such as transparent pricing, better education on how to deploy next generation networks, and transparent design standards can speed deployment in the long term.  </w:t>
      </w:r>
    </w:p>
    <w:p w:rsidR="00507E21" w:rsidRPr="002332DC" w:rsidRDefault="00507E21" w:rsidP="00507E21">
      <w:pPr>
        <w:spacing w:after="0" w:line="240" w:lineRule="auto"/>
        <w:rPr>
          <w:sz w:val="24"/>
          <w:szCs w:val="24"/>
        </w:rPr>
      </w:pPr>
    </w:p>
    <w:p w:rsidR="00507E21" w:rsidRPr="002332DC" w:rsidRDefault="00507E21" w:rsidP="00507E21">
      <w:pPr>
        <w:spacing w:after="0" w:line="240" w:lineRule="auto"/>
        <w:rPr>
          <w:sz w:val="24"/>
          <w:szCs w:val="24"/>
        </w:rPr>
      </w:pPr>
    </w:p>
    <w:p w:rsidR="00507E21" w:rsidRPr="002332DC" w:rsidRDefault="00507E21" w:rsidP="00507E21">
      <w:pPr>
        <w:spacing w:after="0" w:line="240" w:lineRule="auto"/>
        <w:jc w:val="center"/>
        <w:rPr>
          <w:sz w:val="24"/>
          <w:szCs w:val="24"/>
        </w:rPr>
      </w:pPr>
    </w:p>
    <w:p w:rsidR="00507E21" w:rsidRPr="009C77F2" w:rsidRDefault="00507E21" w:rsidP="00507E21">
      <w:pPr>
        <w:spacing w:after="0" w:line="240" w:lineRule="auto"/>
        <w:jc w:val="center"/>
        <w:rPr>
          <w:b/>
          <w:bCs/>
          <w:caps/>
          <w:sz w:val="24"/>
          <w:szCs w:val="24"/>
        </w:rPr>
      </w:pPr>
      <w:r w:rsidRPr="002332DC">
        <w:rPr>
          <w:sz w:val="24"/>
          <w:szCs w:val="24"/>
        </w:rPr>
        <w:br w:type="page"/>
      </w:r>
      <w:r w:rsidRPr="009C77F2">
        <w:rPr>
          <w:b/>
          <w:bCs/>
          <w:caps/>
          <w:sz w:val="24"/>
          <w:szCs w:val="24"/>
        </w:rPr>
        <w:lastRenderedPageBreak/>
        <w:t>Appendix C</w:t>
      </w:r>
    </w:p>
    <w:p w:rsidR="00507E21" w:rsidRPr="00404DF7" w:rsidRDefault="00507E21" w:rsidP="00507E21">
      <w:pPr>
        <w:spacing w:after="0" w:line="240" w:lineRule="auto"/>
        <w:jc w:val="center"/>
        <w:rPr>
          <w:b/>
          <w:caps/>
          <w:sz w:val="24"/>
          <w:szCs w:val="24"/>
        </w:rPr>
      </w:pPr>
    </w:p>
    <w:p w:rsidR="00507E21" w:rsidRPr="00404DF7" w:rsidRDefault="00507E21" w:rsidP="00507E21">
      <w:pPr>
        <w:spacing w:after="0" w:line="240" w:lineRule="auto"/>
        <w:jc w:val="center"/>
        <w:rPr>
          <w:b/>
          <w:bCs/>
          <w:caps/>
          <w:sz w:val="24"/>
          <w:szCs w:val="24"/>
        </w:rPr>
      </w:pPr>
      <w:bookmarkStart w:id="3" w:name="c"/>
      <w:r w:rsidRPr="00404DF7">
        <w:rPr>
          <w:b/>
          <w:bCs/>
          <w:caps/>
          <w:sz w:val="24"/>
          <w:szCs w:val="24"/>
        </w:rPr>
        <w:t>Excessive Fees BARRIER</w:t>
      </w:r>
      <w:bookmarkEnd w:id="3"/>
      <w:r w:rsidRPr="00404DF7">
        <w:rPr>
          <w:b/>
          <w:bCs/>
          <w:caps/>
          <w:sz w:val="24"/>
          <w:szCs w:val="24"/>
        </w:rPr>
        <w:t>:</w:t>
      </w:r>
    </w:p>
    <w:p w:rsidR="00507E21" w:rsidRPr="00404DF7" w:rsidRDefault="00507E21" w:rsidP="00507E21">
      <w:pPr>
        <w:spacing w:after="0" w:line="240" w:lineRule="auto"/>
        <w:jc w:val="center"/>
        <w:rPr>
          <w:b/>
          <w:bCs/>
          <w:caps/>
          <w:sz w:val="24"/>
          <w:szCs w:val="24"/>
        </w:rPr>
      </w:pPr>
      <w:r w:rsidRPr="00404DF7">
        <w:rPr>
          <w:b/>
          <w:bCs/>
          <w:caps/>
          <w:sz w:val="24"/>
          <w:szCs w:val="24"/>
        </w:rPr>
        <w:t>ANALYSIS AND RECOMMENDATIONS</w:t>
      </w:r>
    </w:p>
    <w:p w:rsidR="00507E21" w:rsidRDefault="00507E21" w:rsidP="00507E21">
      <w:pPr>
        <w:spacing w:after="0" w:line="240" w:lineRule="auto"/>
        <w:rPr>
          <w:rFonts w:cs="Times New Roman"/>
          <w:b/>
          <w:sz w:val="24"/>
          <w:szCs w:val="24"/>
        </w:rPr>
      </w:pPr>
    </w:p>
    <w:p w:rsidR="00507E21" w:rsidRPr="00404DF7" w:rsidRDefault="00507E21" w:rsidP="00507E21">
      <w:pPr>
        <w:spacing w:after="0" w:line="240" w:lineRule="auto"/>
        <w:rPr>
          <w:rFonts w:cs="Times New Roman"/>
          <w:sz w:val="24"/>
          <w:szCs w:val="24"/>
        </w:rPr>
      </w:pPr>
      <w:r w:rsidRPr="00253420">
        <w:rPr>
          <w:b/>
          <w:bCs/>
          <w:smallCaps/>
          <w:sz w:val="24"/>
          <w:szCs w:val="24"/>
        </w:rPr>
        <w:t>Barrier</w:t>
      </w:r>
      <w:r>
        <w:rPr>
          <w:b/>
          <w:bCs/>
          <w:smallCaps/>
          <w:sz w:val="24"/>
          <w:szCs w:val="24"/>
        </w:rPr>
        <w:t xml:space="preserve"> </w:t>
      </w:r>
      <w:r w:rsidRPr="00253420">
        <w:rPr>
          <w:b/>
          <w:bCs/>
          <w:smallCaps/>
          <w:sz w:val="24"/>
          <w:szCs w:val="24"/>
        </w:rPr>
        <w:t>Summary</w:t>
      </w:r>
      <w:r>
        <w:rPr>
          <w:rFonts w:cs="Times New Roman"/>
          <w:b/>
          <w:bCs/>
          <w:smallCaps/>
          <w:sz w:val="24"/>
          <w:szCs w:val="24"/>
        </w:rPr>
        <w:t>.</w:t>
      </w:r>
      <w:r w:rsidRPr="00404DF7">
        <w:rPr>
          <w:rFonts w:cs="Times New Roman"/>
          <w:sz w:val="24"/>
          <w:szCs w:val="24"/>
        </w:rPr>
        <w:t xml:space="preserve"> </w:t>
      </w:r>
      <w:r w:rsidRPr="00404DF7">
        <w:rPr>
          <w:sz w:val="24"/>
          <w:szCs w:val="24"/>
        </w:rPr>
        <w:t>This barrier occurs when f</w:t>
      </w:r>
      <w:r w:rsidRPr="00B222AE">
        <w:rPr>
          <w:sz w:val="24"/>
          <w:szCs w:val="24"/>
        </w:rPr>
        <w:t xml:space="preserve">ees for access to ROW and </w:t>
      </w:r>
      <w:r>
        <w:rPr>
          <w:sz w:val="24"/>
          <w:szCs w:val="24"/>
        </w:rPr>
        <w:t>local</w:t>
      </w:r>
      <w:r w:rsidRPr="00B222AE">
        <w:rPr>
          <w:sz w:val="24"/>
          <w:szCs w:val="24"/>
        </w:rPr>
        <w:t xml:space="preserve"> assets are viewed as unreasonably high relative to the incremental burden on the ROW, </w:t>
      </w:r>
      <w:r>
        <w:rPr>
          <w:sz w:val="24"/>
          <w:szCs w:val="24"/>
        </w:rPr>
        <w:t xml:space="preserve">or </w:t>
      </w:r>
      <w:r w:rsidRPr="00B222AE">
        <w:rPr>
          <w:sz w:val="24"/>
          <w:szCs w:val="24"/>
        </w:rPr>
        <w:t xml:space="preserve">duplicative of fees </w:t>
      </w:r>
      <w:r>
        <w:rPr>
          <w:sz w:val="24"/>
          <w:szCs w:val="24"/>
        </w:rPr>
        <w:t>already</w:t>
      </w:r>
      <w:r w:rsidRPr="00B222AE">
        <w:rPr>
          <w:sz w:val="24"/>
          <w:szCs w:val="24"/>
        </w:rPr>
        <w:t xml:space="preserve"> paid, or </w:t>
      </w:r>
      <w:r>
        <w:rPr>
          <w:sz w:val="24"/>
          <w:szCs w:val="24"/>
        </w:rPr>
        <w:t xml:space="preserve">unrelated to </w:t>
      </w:r>
      <w:r w:rsidRPr="00B222AE">
        <w:rPr>
          <w:sz w:val="24"/>
          <w:szCs w:val="24"/>
        </w:rPr>
        <w:t>some other objective metric</w:t>
      </w:r>
      <w:r>
        <w:rPr>
          <w:sz w:val="24"/>
          <w:szCs w:val="24"/>
        </w:rPr>
        <w:t>.</w:t>
      </w:r>
    </w:p>
    <w:p w:rsidR="00507E21" w:rsidRDefault="00507E21" w:rsidP="00507E21">
      <w:pPr>
        <w:spacing w:after="0" w:line="240" w:lineRule="auto"/>
        <w:ind w:firstLine="720"/>
        <w:rPr>
          <w:rFonts w:cs="Times New Roman"/>
          <w:sz w:val="24"/>
          <w:szCs w:val="24"/>
        </w:rPr>
      </w:pPr>
    </w:p>
    <w:p w:rsidR="00507E21" w:rsidRPr="0069105A" w:rsidRDefault="00507E21" w:rsidP="00507E21">
      <w:pPr>
        <w:spacing w:after="0" w:line="240" w:lineRule="auto"/>
        <w:rPr>
          <w:rFonts w:cs="Times New Roman"/>
          <w:sz w:val="24"/>
          <w:szCs w:val="24"/>
        </w:rPr>
      </w:pPr>
      <w:r w:rsidRPr="0069105A">
        <w:rPr>
          <w:b/>
          <w:bCs/>
          <w:smallCaps/>
          <w:sz w:val="24"/>
          <w:szCs w:val="24"/>
        </w:rPr>
        <w:t>Why This Barrier Arises</w:t>
      </w:r>
      <w:r>
        <w:rPr>
          <w:b/>
          <w:bCs/>
          <w:smallCaps/>
          <w:sz w:val="24"/>
          <w:szCs w:val="24"/>
        </w:rPr>
        <w:t xml:space="preserve">. </w:t>
      </w:r>
      <w:r>
        <w:rPr>
          <w:rFonts w:cs="Times New Roman"/>
          <w:sz w:val="24"/>
          <w:szCs w:val="24"/>
        </w:rPr>
        <w:t>This deployment barrier arises w</w:t>
      </w:r>
      <w:r w:rsidRPr="00404DF7">
        <w:rPr>
          <w:rFonts w:cs="Times New Roman"/>
          <w:sz w:val="24"/>
          <w:szCs w:val="24"/>
        </w:rPr>
        <w:t xml:space="preserve">hen </w:t>
      </w:r>
      <w:r>
        <w:rPr>
          <w:rFonts w:cs="Times New Roman"/>
          <w:sz w:val="24"/>
          <w:szCs w:val="24"/>
        </w:rPr>
        <w:t>localities</w:t>
      </w:r>
      <w:r w:rsidRPr="00404DF7">
        <w:rPr>
          <w:rFonts w:cs="Times New Roman"/>
          <w:sz w:val="24"/>
          <w:szCs w:val="24"/>
        </w:rPr>
        <w:t xml:space="preserve"> and providers cannot agree on appropriate compensation</w:t>
      </w:r>
      <w:r>
        <w:rPr>
          <w:rFonts w:cs="Times New Roman"/>
          <w:sz w:val="24"/>
          <w:szCs w:val="24"/>
        </w:rPr>
        <w:t xml:space="preserve"> for ROW access and use of local assets</w:t>
      </w:r>
      <w:r w:rsidRPr="00404DF7">
        <w:rPr>
          <w:rFonts w:cs="Times New Roman"/>
          <w:sz w:val="24"/>
          <w:szCs w:val="24"/>
        </w:rPr>
        <w:t xml:space="preserve">. </w:t>
      </w:r>
      <w:r>
        <w:rPr>
          <w:rFonts w:cs="Times New Roman"/>
          <w:sz w:val="24"/>
          <w:szCs w:val="24"/>
        </w:rPr>
        <w:t>To some extent, this barrier is born of competing interests.  Localities</w:t>
      </w:r>
      <w:r w:rsidRPr="00404DF7">
        <w:rPr>
          <w:rFonts w:cs="Times New Roman"/>
          <w:sz w:val="24"/>
          <w:szCs w:val="24"/>
        </w:rPr>
        <w:t xml:space="preserve"> need funds to properly maintain public infrastructure and support other public services, and sometimes seek to generate revenues for purposes</w:t>
      </w:r>
      <w:r>
        <w:rPr>
          <w:rFonts w:cs="Times New Roman"/>
          <w:sz w:val="24"/>
          <w:szCs w:val="24"/>
        </w:rPr>
        <w:t xml:space="preserve"> unrelated to the costs of the ROW and local assets</w:t>
      </w:r>
      <w:r w:rsidRPr="0069105A">
        <w:rPr>
          <w:rFonts w:cs="Times New Roman"/>
          <w:sz w:val="24"/>
          <w:szCs w:val="24"/>
        </w:rPr>
        <w:t>.  Private companies, on the other hand, want to quickly deploy technology within the public ROW at the lowest cost possible, on the quickest timeline, with minimal regulatory delay.</w:t>
      </w:r>
      <w:r>
        <w:rPr>
          <w:rFonts w:cs="Times New Roman"/>
          <w:sz w:val="24"/>
          <w:szCs w:val="24"/>
        </w:rPr>
        <w:t xml:space="preserve">  </w:t>
      </w:r>
    </w:p>
    <w:p w:rsidR="00507E21" w:rsidRPr="0069105A" w:rsidRDefault="00507E21" w:rsidP="00507E21">
      <w:pPr>
        <w:spacing w:after="0" w:line="240" w:lineRule="auto"/>
        <w:ind w:firstLine="720"/>
        <w:rPr>
          <w:rFonts w:cs="Times New Roman"/>
          <w:sz w:val="24"/>
          <w:szCs w:val="24"/>
        </w:rPr>
      </w:pPr>
    </w:p>
    <w:p w:rsidR="00507E21" w:rsidRPr="009776A8" w:rsidRDefault="00507E21" w:rsidP="00507E21">
      <w:pPr>
        <w:spacing w:after="0" w:line="240" w:lineRule="auto"/>
        <w:rPr>
          <w:rFonts w:cs="Times New Roman"/>
          <w:sz w:val="24"/>
          <w:szCs w:val="24"/>
        </w:rPr>
      </w:pPr>
      <w:r w:rsidRPr="0069105A">
        <w:rPr>
          <w:rFonts w:cs="Times New Roman"/>
          <w:sz w:val="24"/>
          <w:szCs w:val="24"/>
        </w:rPr>
        <w:t xml:space="preserve">Many comments were </w:t>
      </w:r>
      <w:r w:rsidRPr="00B547C3">
        <w:rPr>
          <w:rFonts w:cs="Times New Roman"/>
          <w:sz w:val="24"/>
          <w:szCs w:val="24"/>
        </w:rPr>
        <w:t xml:space="preserve">submitted in the </w:t>
      </w:r>
      <w:r w:rsidRPr="00B547C3">
        <w:rPr>
          <w:rFonts w:cs="Times New Roman"/>
          <w:i/>
          <w:iCs/>
          <w:sz w:val="24"/>
          <w:szCs w:val="24"/>
        </w:rPr>
        <w:t xml:space="preserve">Accelerating Broadband Deployment </w:t>
      </w:r>
      <w:r w:rsidRPr="00B547C3">
        <w:rPr>
          <w:rFonts w:cs="Times New Roman"/>
          <w:sz w:val="24"/>
          <w:szCs w:val="24"/>
        </w:rPr>
        <w:t>dockets that named excessive fees as a deployment barrier.  In comments, providers noted the numerous fees that they pay when deploying in the public ROW, and questioned whether some of those fees were excessive</w:t>
      </w:r>
      <w:r w:rsidRPr="009F08DA">
        <w:rPr>
          <w:rFonts w:cs="Times New Roman"/>
          <w:sz w:val="24"/>
          <w:szCs w:val="24"/>
        </w:rPr>
        <w:t xml:space="preserve"> and/or duplicative.  These fees included initial and recurring ROW access and licensing fees, pole attachment fees on municipal owned poles</w:t>
      </w:r>
      <w:r w:rsidRPr="009776A8">
        <w:rPr>
          <w:rFonts w:cs="Times New Roman"/>
          <w:sz w:val="24"/>
          <w:szCs w:val="24"/>
        </w:rPr>
        <w:t>, consultant fees, and miscellaneous supplementary fees.  These fees are often assessed in different ways depending on the municipality, and can include fees based on attachment location or revenue. Broadband providers also noted that it is often unclear why certain ROW fees are assessed, how those fees are calculated, or what authority is relied upon to assess th</w:t>
      </w:r>
      <w:r>
        <w:rPr>
          <w:rFonts w:cs="Times New Roman"/>
          <w:sz w:val="24"/>
          <w:szCs w:val="24"/>
        </w:rPr>
        <w:t>ose</w:t>
      </w:r>
      <w:r w:rsidRPr="009776A8">
        <w:rPr>
          <w:rFonts w:cs="Times New Roman"/>
          <w:sz w:val="24"/>
          <w:szCs w:val="24"/>
        </w:rPr>
        <w:t xml:space="preserve"> fees. </w:t>
      </w:r>
      <w:r w:rsidRPr="00B222AE">
        <w:rPr>
          <w:rFonts w:cs="Times New Roman"/>
          <w:sz w:val="24"/>
          <w:szCs w:val="24"/>
        </w:rPr>
        <w:t>Some providers suggest that they are suffering from discriminatory treatment.</w:t>
      </w:r>
      <w:r w:rsidRPr="0069105A">
        <w:rPr>
          <w:rFonts w:cs="Times New Roman"/>
          <w:sz w:val="24"/>
          <w:szCs w:val="24"/>
        </w:rPr>
        <w:t xml:space="preserve"> Some </w:t>
      </w:r>
      <w:r w:rsidRPr="00B547C3">
        <w:rPr>
          <w:rFonts w:cs="Times New Roman"/>
          <w:sz w:val="24"/>
          <w:szCs w:val="24"/>
        </w:rPr>
        <w:t xml:space="preserve">broadband providers also </w:t>
      </w:r>
      <w:r w:rsidRPr="009F08DA">
        <w:rPr>
          <w:rFonts w:cs="Times New Roman"/>
          <w:sz w:val="24"/>
          <w:szCs w:val="24"/>
        </w:rPr>
        <w:t xml:space="preserve">believe they are charged </w:t>
      </w:r>
      <w:r>
        <w:rPr>
          <w:rFonts w:cs="Times New Roman"/>
          <w:sz w:val="24"/>
          <w:szCs w:val="24"/>
        </w:rPr>
        <w:t xml:space="preserve">duplicative or excessive </w:t>
      </w:r>
      <w:r w:rsidRPr="009F08DA">
        <w:rPr>
          <w:rFonts w:cs="Times New Roman"/>
          <w:sz w:val="24"/>
          <w:szCs w:val="24"/>
        </w:rPr>
        <w:t xml:space="preserve">fees that are not related to the burden </w:t>
      </w:r>
      <w:r>
        <w:rPr>
          <w:rFonts w:cs="Times New Roman"/>
          <w:sz w:val="24"/>
          <w:szCs w:val="24"/>
        </w:rPr>
        <w:t xml:space="preserve">caused by placing these </w:t>
      </w:r>
      <w:r w:rsidRPr="009F08DA">
        <w:rPr>
          <w:rFonts w:cs="Times New Roman"/>
          <w:sz w:val="24"/>
          <w:szCs w:val="24"/>
        </w:rPr>
        <w:t xml:space="preserve">services </w:t>
      </w:r>
      <w:r>
        <w:rPr>
          <w:rFonts w:cs="Times New Roman"/>
          <w:sz w:val="24"/>
          <w:szCs w:val="24"/>
        </w:rPr>
        <w:t xml:space="preserve">and local assets in the </w:t>
      </w:r>
      <w:r w:rsidRPr="009F08DA">
        <w:rPr>
          <w:rFonts w:cs="Times New Roman"/>
          <w:sz w:val="24"/>
          <w:szCs w:val="24"/>
        </w:rPr>
        <w:t>ROW</w:t>
      </w:r>
      <w:r>
        <w:rPr>
          <w:rFonts w:cs="Times New Roman"/>
          <w:sz w:val="24"/>
          <w:szCs w:val="24"/>
        </w:rPr>
        <w:t>.</w:t>
      </w:r>
      <w:r w:rsidRPr="009F08DA">
        <w:rPr>
          <w:rFonts w:cs="Times New Roman"/>
          <w:sz w:val="24"/>
          <w:szCs w:val="24"/>
        </w:rPr>
        <w:t xml:space="preserve"> </w:t>
      </w:r>
    </w:p>
    <w:p w:rsidR="00507E21" w:rsidRPr="009776A8" w:rsidRDefault="00507E21" w:rsidP="00507E21">
      <w:pPr>
        <w:spacing w:after="0" w:line="240" w:lineRule="auto"/>
        <w:ind w:firstLine="720"/>
        <w:rPr>
          <w:rFonts w:cs="Times New Roman"/>
          <w:sz w:val="24"/>
          <w:szCs w:val="24"/>
        </w:rPr>
      </w:pPr>
    </w:p>
    <w:p w:rsidR="00507E21" w:rsidRDefault="00507E21" w:rsidP="00507E21">
      <w:pPr>
        <w:spacing w:after="0" w:line="240" w:lineRule="auto"/>
        <w:rPr>
          <w:rFonts w:cs="Times New Roman"/>
          <w:sz w:val="24"/>
          <w:szCs w:val="24"/>
        </w:rPr>
      </w:pPr>
      <w:r w:rsidRPr="00B222AE">
        <w:rPr>
          <w:rFonts w:cs="Times New Roman"/>
          <w:sz w:val="24"/>
          <w:szCs w:val="24"/>
        </w:rPr>
        <w:t xml:space="preserve">Excessive fees discourage investment and impede broadband deployment efforts.  Higher construction costs and uncertain fee structures caused by the lack of transparency </w:t>
      </w:r>
      <w:r w:rsidRPr="0069105A">
        <w:rPr>
          <w:rFonts w:cs="Times New Roman"/>
          <w:sz w:val="24"/>
          <w:szCs w:val="24"/>
        </w:rPr>
        <w:t>can cause providers to forgo or delay deployment projects.</w:t>
      </w:r>
      <w:r>
        <w:rPr>
          <w:rFonts w:cs="Times New Roman"/>
          <w:sz w:val="24"/>
          <w:szCs w:val="24"/>
        </w:rPr>
        <w:t xml:space="preserve"> Excessive fees also are passed through to consumers thereby increasing costs to consumers and depressing adoption.  Lower adoption rates reduce projected rates of return, which can make broadband deployment uneconomic.  This effect is especially undesirable in unserved or underserved areas, where ROW access and use fees can greatly compound already high deployment costs</w:t>
      </w:r>
      <w:r w:rsidRPr="0069105A">
        <w:rPr>
          <w:rFonts w:cs="Times New Roman"/>
          <w:sz w:val="24"/>
          <w:szCs w:val="24"/>
        </w:rPr>
        <w:t xml:space="preserve">.  </w:t>
      </w:r>
    </w:p>
    <w:p w:rsidR="00507E21" w:rsidRPr="00B547C3" w:rsidRDefault="00507E21" w:rsidP="00507E21">
      <w:pPr>
        <w:spacing w:after="0" w:line="240" w:lineRule="auto"/>
        <w:ind w:firstLine="720"/>
        <w:rPr>
          <w:rFonts w:cs="Times New Roman"/>
          <w:sz w:val="24"/>
          <w:szCs w:val="24"/>
        </w:rPr>
      </w:pPr>
    </w:p>
    <w:p w:rsidR="00507E21" w:rsidRPr="009776A8" w:rsidRDefault="00507E21" w:rsidP="00507E21">
      <w:pPr>
        <w:spacing w:after="0" w:line="240" w:lineRule="auto"/>
        <w:rPr>
          <w:rFonts w:cs="Times New Roman"/>
          <w:sz w:val="24"/>
          <w:szCs w:val="24"/>
        </w:rPr>
      </w:pPr>
      <w:r w:rsidRPr="009F08DA">
        <w:rPr>
          <w:rFonts w:cs="Times New Roman"/>
          <w:sz w:val="24"/>
          <w:szCs w:val="24"/>
        </w:rPr>
        <w:t>Based on the comments provided, below is an analysis of why this barrier exists</w:t>
      </w:r>
      <w:r>
        <w:rPr>
          <w:rFonts w:cs="Times New Roman"/>
          <w:sz w:val="24"/>
          <w:szCs w:val="24"/>
        </w:rPr>
        <w:t>.</w:t>
      </w:r>
      <w:r w:rsidRPr="009776A8">
        <w:rPr>
          <w:rFonts w:cs="Times New Roman"/>
          <w:sz w:val="24"/>
          <w:szCs w:val="24"/>
        </w:rPr>
        <w:t xml:space="preserve">  </w:t>
      </w:r>
    </w:p>
    <w:p w:rsidR="00507E21" w:rsidRPr="00B222AE" w:rsidRDefault="00507E21" w:rsidP="00507E21">
      <w:pPr>
        <w:pStyle w:val="ListParagraph"/>
        <w:numPr>
          <w:ilvl w:val="0"/>
          <w:numId w:val="5"/>
        </w:numPr>
        <w:spacing w:after="0" w:line="240" w:lineRule="auto"/>
        <w:rPr>
          <w:rFonts w:cs="Times New Roman"/>
          <w:sz w:val="24"/>
          <w:szCs w:val="24"/>
        </w:rPr>
      </w:pPr>
      <w:r w:rsidRPr="00B222AE">
        <w:rPr>
          <w:rFonts w:cs="Times New Roman"/>
          <w:b/>
          <w:bCs/>
          <w:sz w:val="24"/>
          <w:szCs w:val="24"/>
        </w:rPr>
        <w:t>Competing Economic Interests.</w:t>
      </w:r>
      <w:r w:rsidRPr="00B222AE">
        <w:rPr>
          <w:rFonts w:cs="Times New Roman"/>
          <w:sz w:val="24"/>
          <w:szCs w:val="24"/>
        </w:rPr>
        <w:t xml:space="preserve">  The potential for friction between </w:t>
      </w:r>
      <w:r>
        <w:rPr>
          <w:rFonts w:cs="Times New Roman"/>
          <w:sz w:val="24"/>
          <w:szCs w:val="24"/>
        </w:rPr>
        <w:t>localities</w:t>
      </w:r>
      <w:r w:rsidRPr="00B222AE">
        <w:rPr>
          <w:rFonts w:cs="Times New Roman"/>
          <w:sz w:val="24"/>
          <w:szCs w:val="24"/>
        </w:rPr>
        <w:t xml:space="preserve"> and private companies exists because of their competing economic interests. As noted above, </w:t>
      </w:r>
      <w:r>
        <w:rPr>
          <w:rFonts w:cs="Times New Roman"/>
          <w:sz w:val="24"/>
          <w:szCs w:val="24"/>
        </w:rPr>
        <w:t>localities</w:t>
      </w:r>
      <w:r w:rsidRPr="00B222AE">
        <w:rPr>
          <w:rFonts w:cs="Times New Roman"/>
          <w:sz w:val="24"/>
          <w:szCs w:val="24"/>
        </w:rPr>
        <w:t xml:space="preserve"> need funds to properly maintain public infrastructure and support other public services, and sometimes seek to generate revenues for </w:t>
      </w:r>
      <w:r>
        <w:rPr>
          <w:rFonts w:cs="Times New Roman"/>
          <w:sz w:val="24"/>
          <w:szCs w:val="24"/>
        </w:rPr>
        <w:t>purposes unrelated to broadband deployment</w:t>
      </w:r>
      <w:r w:rsidRPr="0069105A">
        <w:rPr>
          <w:rFonts w:cs="Times New Roman"/>
          <w:sz w:val="24"/>
          <w:szCs w:val="24"/>
        </w:rPr>
        <w:t xml:space="preserve">.  Private companies, on the other hand, want to quickly deploy </w:t>
      </w:r>
      <w:r w:rsidRPr="0069105A">
        <w:rPr>
          <w:rFonts w:cs="Times New Roman"/>
          <w:sz w:val="24"/>
          <w:szCs w:val="24"/>
        </w:rPr>
        <w:lastRenderedPageBreak/>
        <w:t>technology in the public ROW at the lowest cost possible, on the quickest t</w:t>
      </w:r>
      <w:r w:rsidRPr="00B547C3">
        <w:rPr>
          <w:rFonts w:cs="Times New Roman"/>
          <w:sz w:val="24"/>
          <w:szCs w:val="24"/>
        </w:rPr>
        <w:t xml:space="preserve">imeline, with minimal regulatory delay.  Commenters suggested that increased competition between </w:t>
      </w:r>
      <w:r>
        <w:rPr>
          <w:rFonts w:cs="Times New Roman"/>
          <w:sz w:val="24"/>
          <w:szCs w:val="24"/>
        </w:rPr>
        <w:t>localities</w:t>
      </w:r>
      <w:r w:rsidRPr="00B547C3">
        <w:rPr>
          <w:rFonts w:cs="Times New Roman"/>
          <w:sz w:val="24"/>
          <w:szCs w:val="24"/>
        </w:rPr>
        <w:t xml:space="preserve"> and private companies may add to this friction.  </w:t>
      </w:r>
    </w:p>
    <w:p w:rsidR="00507E21" w:rsidRDefault="00507E21" w:rsidP="00507E21">
      <w:pPr>
        <w:pStyle w:val="ListParagraph"/>
        <w:numPr>
          <w:ilvl w:val="0"/>
          <w:numId w:val="5"/>
        </w:numPr>
        <w:spacing w:after="0" w:line="240" w:lineRule="auto"/>
        <w:rPr>
          <w:rFonts w:cs="Times New Roman"/>
          <w:b/>
          <w:bCs/>
          <w:sz w:val="24"/>
          <w:szCs w:val="24"/>
        </w:rPr>
      </w:pPr>
      <w:r w:rsidRPr="00B222AE">
        <w:rPr>
          <w:rFonts w:cs="Times New Roman"/>
          <w:b/>
          <w:bCs/>
          <w:sz w:val="24"/>
          <w:szCs w:val="24"/>
        </w:rPr>
        <w:t>Different Methods of Calculating “Fair and Reasonable” Compensation.</w:t>
      </w:r>
      <w:r w:rsidRPr="00B222AE">
        <w:rPr>
          <w:rFonts w:cs="Times New Roman"/>
          <w:sz w:val="24"/>
          <w:szCs w:val="24"/>
        </w:rPr>
        <w:t xml:space="preserve">  On re</w:t>
      </w:r>
      <w:r w:rsidRPr="0069105A">
        <w:rPr>
          <w:rFonts w:cs="Times New Roman"/>
          <w:sz w:val="24"/>
          <w:szCs w:val="24"/>
        </w:rPr>
        <w:t>cord, stakeholders disagree regarding how best to determine “fair and reasonable” compensation for ROW use.  For example, many municipal parties charge “rent-based” fees based on a “fair market value” calculus,</w:t>
      </w:r>
      <w:r w:rsidRPr="00B547C3">
        <w:rPr>
          <w:rFonts w:cs="Times New Roman"/>
          <w:sz w:val="24"/>
          <w:szCs w:val="24"/>
        </w:rPr>
        <w:t xml:space="preserve"> which may include auctions or other methodologies.  </w:t>
      </w:r>
      <w:r w:rsidRPr="0069105A">
        <w:rPr>
          <w:rFonts w:cs="Times New Roman"/>
          <w:sz w:val="24"/>
          <w:szCs w:val="24"/>
        </w:rPr>
        <w:t xml:space="preserve">This difference of opinion extends to the courts, as </w:t>
      </w:r>
      <w:r>
        <w:rPr>
          <w:rFonts w:cs="Times New Roman"/>
          <w:sz w:val="24"/>
          <w:szCs w:val="24"/>
        </w:rPr>
        <w:t xml:space="preserve">to </w:t>
      </w:r>
      <w:r w:rsidRPr="0069105A">
        <w:rPr>
          <w:rFonts w:cs="Times New Roman"/>
          <w:sz w:val="24"/>
          <w:szCs w:val="24"/>
        </w:rPr>
        <w:t>what constitutes a “fair and reasonable” fee</w:t>
      </w:r>
      <w:r>
        <w:rPr>
          <w:rFonts w:cs="Times New Roman"/>
          <w:sz w:val="24"/>
          <w:szCs w:val="24"/>
        </w:rPr>
        <w:t>.</w:t>
      </w:r>
    </w:p>
    <w:p w:rsidR="00507E21" w:rsidRPr="009F08DA" w:rsidRDefault="00507E21" w:rsidP="00507E21">
      <w:pPr>
        <w:pStyle w:val="ListParagraph"/>
        <w:numPr>
          <w:ilvl w:val="0"/>
          <w:numId w:val="5"/>
        </w:numPr>
        <w:spacing w:after="0" w:line="240" w:lineRule="auto"/>
        <w:rPr>
          <w:rFonts w:cs="Times New Roman"/>
          <w:b/>
          <w:bCs/>
          <w:sz w:val="24"/>
          <w:szCs w:val="24"/>
        </w:rPr>
      </w:pPr>
      <w:r w:rsidRPr="0069105A">
        <w:rPr>
          <w:rFonts w:cs="Times New Roman"/>
          <w:b/>
          <w:bCs/>
          <w:sz w:val="24"/>
          <w:szCs w:val="24"/>
        </w:rPr>
        <w:t xml:space="preserve">Lack of Principles Regarding Fees.  </w:t>
      </w:r>
      <w:r w:rsidRPr="0069105A">
        <w:rPr>
          <w:rFonts w:cs="Times New Roman"/>
          <w:sz w:val="24"/>
          <w:szCs w:val="24"/>
        </w:rPr>
        <w:t>There are currently no principles that guide municipal fee assessment on broadband providers</w:t>
      </w:r>
      <w:r>
        <w:rPr>
          <w:rFonts w:cs="Times New Roman"/>
          <w:sz w:val="24"/>
          <w:szCs w:val="24"/>
        </w:rPr>
        <w:t>,</w:t>
      </w:r>
      <w:r w:rsidRPr="00B547C3">
        <w:rPr>
          <w:rFonts w:cs="Times New Roman"/>
          <w:sz w:val="24"/>
          <w:szCs w:val="24"/>
        </w:rPr>
        <w:t xml:space="preserve"> </w:t>
      </w:r>
      <w:r>
        <w:rPr>
          <w:rFonts w:cs="Times New Roman"/>
          <w:sz w:val="24"/>
          <w:szCs w:val="24"/>
        </w:rPr>
        <w:t>which has</w:t>
      </w:r>
      <w:r w:rsidRPr="00B547C3">
        <w:rPr>
          <w:rFonts w:cs="Times New Roman"/>
          <w:sz w:val="24"/>
          <w:szCs w:val="24"/>
        </w:rPr>
        <w:t xml:space="preserve"> led to disagreements and disputes</w:t>
      </w:r>
      <w:r>
        <w:rPr>
          <w:rFonts w:cs="Times New Roman"/>
          <w:sz w:val="24"/>
          <w:szCs w:val="24"/>
        </w:rPr>
        <w:t xml:space="preserve">. </w:t>
      </w:r>
      <w:r w:rsidRPr="003F65A9">
        <w:rPr>
          <w:rFonts w:cs="Times New Roman"/>
          <w:sz w:val="24"/>
          <w:szCs w:val="24"/>
        </w:rPr>
        <w:t xml:space="preserve">Many commenters provided examples of fees being charged that are duplicative and/or in excess of the burden providers are putting </w:t>
      </w:r>
      <w:r>
        <w:rPr>
          <w:rFonts w:cs="Times New Roman"/>
          <w:sz w:val="24"/>
          <w:szCs w:val="24"/>
        </w:rPr>
        <w:t>on</w:t>
      </w:r>
      <w:r w:rsidRPr="003F65A9">
        <w:rPr>
          <w:rFonts w:cs="Times New Roman"/>
          <w:sz w:val="24"/>
          <w:szCs w:val="24"/>
        </w:rPr>
        <w:t xml:space="preserve"> the ROW</w:t>
      </w:r>
      <w:r>
        <w:rPr>
          <w:rFonts w:cs="Times New Roman"/>
          <w:sz w:val="24"/>
          <w:szCs w:val="24"/>
        </w:rPr>
        <w:t xml:space="preserve"> and local assets</w:t>
      </w:r>
      <w:r w:rsidRPr="003F65A9">
        <w:rPr>
          <w:rFonts w:cs="Times New Roman"/>
          <w:sz w:val="24"/>
          <w:szCs w:val="24"/>
        </w:rPr>
        <w:t xml:space="preserve"> to deploy broadband, and appear solely motivated to generate revenue.</w:t>
      </w:r>
      <w:r>
        <w:rPr>
          <w:rStyle w:val="FootnoteReference"/>
          <w:rFonts w:cs="Times New Roman"/>
          <w:szCs w:val="24"/>
        </w:rPr>
        <w:footnoteReference w:id="1"/>
      </w:r>
      <w:r w:rsidRPr="003F65A9">
        <w:rPr>
          <w:rFonts w:cs="Times New Roman"/>
          <w:sz w:val="24"/>
          <w:szCs w:val="24"/>
        </w:rPr>
        <w:t xml:space="preserve">  </w:t>
      </w:r>
      <w:r w:rsidRPr="00B547C3">
        <w:rPr>
          <w:rFonts w:cs="Times New Roman"/>
          <w:sz w:val="24"/>
          <w:szCs w:val="24"/>
        </w:rPr>
        <w:t xml:space="preserve">Litigating these disputes, commenters note, is not a sustainable solution or good policy. Litigation drains resources, further delays deployment, and creates </w:t>
      </w:r>
      <w:r w:rsidRPr="009F08DA">
        <w:rPr>
          <w:rFonts w:cs="Times New Roman"/>
          <w:sz w:val="24"/>
          <w:szCs w:val="24"/>
        </w:rPr>
        <w:t>inconsis</w:t>
      </w:r>
      <w:r>
        <w:rPr>
          <w:rFonts w:cs="Times New Roman"/>
          <w:sz w:val="24"/>
          <w:szCs w:val="24"/>
        </w:rPr>
        <w:t>tent precedent</w:t>
      </w:r>
      <w:r w:rsidRPr="009F08DA">
        <w:rPr>
          <w:rFonts w:cs="Times New Roman"/>
          <w:sz w:val="24"/>
          <w:szCs w:val="24"/>
        </w:rPr>
        <w:t xml:space="preserve"> between jurisdictions.  </w:t>
      </w:r>
    </w:p>
    <w:p w:rsidR="00507E21" w:rsidRPr="009776A8" w:rsidRDefault="00507E21" w:rsidP="00507E21">
      <w:pPr>
        <w:pStyle w:val="ListParagraph"/>
        <w:numPr>
          <w:ilvl w:val="0"/>
          <w:numId w:val="5"/>
        </w:numPr>
        <w:spacing w:after="0" w:line="240" w:lineRule="auto"/>
        <w:rPr>
          <w:rFonts w:cs="Times New Roman"/>
          <w:b/>
          <w:bCs/>
          <w:sz w:val="24"/>
          <w:szCs w:val="24"/>
        </w:rPr>
      </w:pPr>
      <w:r w:rsidRPr="009F08DA">
        <w:rPr>
          <w:rFonts w:cs="Times New Roman"/>
          <w:b/>
          <w:bCs/>
          <w:sz w:val="24"/>
          <w:szCs w:val="24"/>
        </w:rPr>
        <w:t xml:space="preserve">Lack of Transparency.  </w:t>
      </w:r>
      <w:r w:rsidRPr="009776A8">
        <w:rPr>
          <w:rFonts w:cs="Times New Roman"/>
          <w:sz w:val="24"/>
          <w:szCs w:val="24"/>
        </w:rPr>
        <w:t xml:space="preserve">Negotiations stall and partnerships fray without insight as to how fees are calculated, both with respect to the fee itself and why fees might be allocated differently between providers.  </w:t>
      </w:r>
    </w:p>
    <w:p w:rsidR="00507E21" w:rsidRPr="009776A8" w:rsidRDefault="00507E21" w:rsidP="00507E21">
      <w:pPr>
        <w:pStyle w:val="ListParagraph"/>
        <w:spacing w:after="0" w:line="240" w:lineRule="auto"/>
        <w:rPr>
          <w:rFonts w:cs="Times New Roman"/>
          <w:b/>
          <w:sz w:val="24"/>
          <w:szCs w:val="24"/>
        </w:rPr>
      </w:pPr>
    </w:p>
    <w:p w:rsidR="00507E21" w:rsidRPr="00B547C3" w:rsidRDefault="00507E21" w:rsidP="00507E21">
      <w:pPr>
        <w:spacing w:after="0" w:line="240" w:lineRule="auto"/>
        <w:outlineLvl w:val="0"/>
        <w:rPr>
          <w:sz w:val="24"/>
          <w:szCs w:val="24"/>
        </w:rPr>
      </w:pPr>
      <w:r w:rsidRPr="0069105A">
        <w:rPr>
          <w:b/>
          <w:bCs/>
          <w:smallCaps/>
          <w:sz w:val="24"/>
          <w:szCs w:val="24"/>
        </w:rPr>
        <w:t>Recommendations</w:t>
      </w:r>
      <w:r w:rsidRPr="0069105A">
        <w:rPr>
          <w:b/>
          <w:bCs/>
          <w:i/>
          <w:iCs/>
          <w:sz w:val="24"/>
          <w:szCs w:val="24"/>
        </w:rPr>
        <w:t xml:space="preserve">. </w:t>
      </w:r>
    </w:p>
    <w:p w:rsidR="00507E21" w:rsidRDefault="00507E21" w:rsidP="00507E21">
      <w:pPr>
        <w:spacing w:after="0" w:line="240" w:lineRule="auto"/>
        <w:rPr>
          <w:rFonts w:cs="Times New Roman"/>
          <w:sz w:val="24"/>
          <w:szCs w:val="24"/>
        </w:rPr>
      </w:pPr>
      <w:r w:rsidRPr="00B222AE">
        <w:rPr>
          <w:rFonts w:cs="Times New Roman"/>
          <w:sz w:val="24"/>
          <w:szCs w:val="24"/>
        </w:rPr>
        <w:tab/>
        <w:t xml:space="preserve">Successful partnerships between </w:t>
      </w:r>
      <w:r>
        <w:rPr>
          <w:rFonts w:cs="Times New Roman"/>
          <w:sz w:val="24"/>
          <w:szCs w:val="24"/>
        </w:rPr>
        <w:t>localities</w:t>
      </w:r>
      <w:r w:rsidRPr="00B222AE">
        <w:rPr>
          <w:rFonts w:cs="Times New Roman"/>
          <w:sz w:val="24"/>
          <w:szCs w:val="24"/>
        </w:rPr>
        <w:t xml:space="preserve"> and broadband providers are necessary to provide broadband connectivity to as many communities as possible.  The Working Group acknowledges that providers must pay to use public property resources, and </w:t>
      </w:r>
      <w:r>
        <w:rPr>
          <w:rFonts w:cs="Times New Roman"/>
          <w:sz w:val="24"/>
          <w:szCs w:val="24"/>
        </w:rPr>
        <w:t>localities</w:t>
      </w:r>
      <w:r w:rsidRPr="00B222AE">
        <w:rPr>
          <w:rFonts w:cs="Times New Roman"/>
          <w:sz w:val="24"/>
          <w:szCs w:val="24"/>
        </w:rPr>
        <w:t>’ best serve constituents by making these resources available on mutually beneficial terms and conditions.  In order to better facilitate those negotiations, the FCC should provide leadership and clarity on what actually constitutes an “excessive” or “duplicative” fee for ROW access and use</w:t>
      </w:r>
      <w:r>
        <w:rPr>
          <w:rFonts w:cs="Times New Roman"/>
          <w:sz w:val="24"/>
          <w:szCs w:val="24"/>
        </w:rPr>
        <w:t>, and is therefore outside the meaning of “fair and reasonable” compensation</w:t>
      </w:r>
      <w:r w:rsidRPr="00B222AE">
        <w:rPr>
          <w:rFonts w:cs="Times New Roman"/>
          <w:sz w:val="24"/>
          <w:szCs w:val="24"/>
        </w:rPr>
        <w:t xml:space="preserve">.  Therefore, the Working Group recommends that the FCC take the following actions: </w:t>
      </w:r>
    </w:p>
    <w:p w:rsidR="00507E21" w:rsidRPr="00E8358D" w:rsidRDefault="00507E21" w:rsidP="00507E21">
      <w:pPr>
        <w:pStyle w:val="ListParagraph"/>
        <w:numPr>
          <w:ilvl w:val="0"/>
          <w:numId w:val="25"/>
        </w:numPr>
        <w:spacing w:after="0" w:line="240" w:lineRule="auto"/>
        <w:rPr>
          <w:rFonts w:cs="Times New Roman"/>
          <w:sz w:val="24"/>
          <w:szCs w:val="24"/>
        </w:rPr>
      </w:pPr>
      <w:r>
        <w:rPr>
          <w:rFonts w:cs="Times New Roman"/>
          <w:b/>
          <w:bCs/>
          <w:sz w:val="24"/>
          <w:szCs w:val="24"/>
        </w:rPr>
        <w:t>T</w:t>
      </w:r>
      <w:r w:rsidRPr="00E8358D">
        <w:rPr>
          <w:rFonts w:cs="Times New Roman"/>
          <w:b/>
          <w:bCs/>
          <w:sz w:val="24"/>
          <w:szCs w:val="24"/>
        </w:rPr>
        <w:t xml:space="preserve">he Working Group advises the Commission to introduce greater transparency regarding the way ROW fees are </w:t>
      </w:r>
      <w:r>
        <w:rPr>
          <w:rFonts w:cs="Times New Roman"/>
          <w:b/>
          <w:bCs/>
          <w:sz w:val="24"/>
          <w:szCs w:val="24"/>
        </w:rPr>
        <w:t>determined</w:t>
      </w:r>
      <w:r w:rsidRPr="00E8358D">
        <w:rPr>
          <w:rFonts w:cs="Times New Roman"/>
          <w:b/>
          <w:bCs/>
          <w:sz w:val="24"/>
          <w:szCs w:val="24"/>
        </w:rPr>
        <w:t xml:space="preserve"> by requiring </w:t>
      </w:r>
      <w:r>
        <w:rPr>
          <w:rFonts w:cs="Times New Roman"/>
          <w:b/>
          <w:bCs/>
          <w:sz w:val="24"/>
          <w:szCs w:val="24"/>
        </w:rPr>
        <w:t>localities</w:t>
      </w:r>
      <w:r w:rsidRPr="00E8358D">
        <w:rPr>
          <w:rFonts w:cs="Times New Roman"/>
          <w:b/>
          <w:bCs/>
          <w:sz w:val="24"/>
          <w:szCs w:val="24"/>
        </w:rPr>
        <w:t xml:space="preserve"> to make fee schedules publicly available, along with a brief explanation of how fees were calculated, and why fees may be applied differently between providers or services.  </w:t>
      </w:r>
      <w:r>
        <w:rPr>
          <w:rFonts w:cs="Times New Roman"/>
          <w:sz w:val="24"/>
          <w:szCs w:val="24"/>
        </w:rPr>
        <w:t>I</w:t>
      </w:r>
      <w:r w:rsidRPr="00E8358D">
        <w:rPr>
          <w:rFonts w:cs="Times New Roman"/>
          <w:sz w:val="24"/>
          <w:szCs w:val="24"/>
        </w:rPr>
        <w:t>t is not necessary for the Commission to prescribe an identical fee calculation on every municipality to ensure next-generation networks are successfully installed.  Publicly disclosing siting fees will introduce helpful cost predictability for deploying carriers, and the additional accountability will encourage thoughtful, rational ROW</w:t>
      </w:r>
      <w:r>
        <w:rPr>
          <w:rFonts w:cs="Times New Roman"/>
          <w:sz w:val="24"/>
          <w:szCs w:val="24"/>
        </w:rPr>
        <w:t xml:space="preserve"> and use</w:t>
      </w:r>
      <w:r w:rsidRPr="00E8358D">
        <w:rPr>
          <w:rFonts w:cs="Times New Roman"/>
          <w:sz w:val="24"/>
          <w:szCs w:val="24"/>
        </w:rPr>
        <w:t xml:space="preserve"> fees.  </w:t>
      </w:r>
    </w:p>
    <w:p w:rsidR="00507E21" w:rsidRPr="00EF6B28" w:rsidRDefault="00507E21" w:rsidP="00507E21">
      <w:pPr>
        <w:pStyle w:val="ListParagraph"/>
        <w:numPr>
          <w:ilvl w:val="0"/>
          <w:numId w:val="25"/>
        </w:numPr>
        <w:spacing w:after="0" w:line="240" w:lineRule="auto"/>
        <w:rPr>
          <w:rFonts w:cs="Times New Roman"/>
          <w:sz w:val="24"/>
          <w:szCs w:val="24"/>
        </w:rPr>
      </w:pPr>
      <w:r>
        <w:rPr>
          <w:rFonts w:cs="Times New Roman"/>
          <w:b/>
          <w:bCs/>
          <w:sz w:val="24"/>
          <w:szCs w:val="24"/>
        </w:rPr>
        <w:lastRenderedPageBreak/>
        <w:t xml:space="preserve">The </w:t>
      </w:r>
      <w:r w:rsidRPr="00EF6B28">
        <w:rPr>
          <w:rFonts w:cs="Times New Roman"/>
          <w:b/>
          <w:bCs/>
          <w:sz w:val="24"/>
          <w:szCs w:val="24"/>
        </w:rPr>
        <w:t>Commission should clarify that “fair and reasonable” compensation for ROW access and use implies some relationship</w:t>
      </w:r>
      <w:r w:rsidRPr="00EF6B28">
        <w:rPr>
          <w:rFonts w:cs="Times New Roman"/>
          <w:b/>
          <w:bCs/>
          <w:i/>
          <w:iCs/>
          <w:sz w:val="24"/>
          <w:szCs w:val="24"/>
        </w:rPr>
        <w:t xml:space="preserve"> </w:t>
      </w:r>
      <w:r w:rsidRPr="00EF6B28">
        <w:rPr>
          <w:rFonts w:cs="Times New Roman"/>
          <w:b/>
          <w:bCs/>
          <w:sz w:val="24"/>
          <w:szCs w:val="24"/>
        </w:rPr>
        <w:t>to a deployment’s actual incremental burden on the ROW</w:t>
      </w:r>
      <w:r w:rsidRPr="008A28CF">
        <w:rPr>
          <w:b/>
          <w:sz w:val="24"/>
        </w:rPr>
        <w:t xml:space="preserve"> </w:t>
      </w:r>
      <w:r>
        <w:rPr>
          <w:rFonts w:cs="Times New Roman"/>
          <w:b/>
          <w:bCs/>
          <w:sz w:val="24"/>
          <w:szCs w:val="24"/>
        </w:rPr>
        <w:t>and local assets</w:t>
      </w:r>
      <w:r w:rsidRPr="00EF6B28">
        <w:rPr>
          <w:rFonts w:cs="Times New Roman"/>
          <w:sz w:val="24"/>
          <w:szCs w:val="24"/>
        </w:rPr>
        <w:t xml:space="preserve">.  As a policy matter, the Commission should recognize that local fees designed to maximize profit </w:t>
      </w:r>
      <w:r>
        <w:rPr>
          <w:rFonts w:cs="Times New Roman"/>
          <w:sz w:val="24"/>
          <w:szCs w:val="24"/>
        </w:rPr>
        <w:t>are</w:t>
      </w:r>
      <w:r w:rsidRPr="00EF6B28">
        <w:rPr>
          <w:rFonts w:cs="Times New Roman"/>
          <w:sz w:val="24"/>
          <w:szCs w:val="24"/>
        </w:rPr>
        <w:t xml:space="preserve"> barriers to deployment.  A burden-oriented standard is flexible enough to suit varied localities and network architectures, would ensure that fees </w:t>
      </w:r>
      <w:r>
        <w:rPr>
          <w:rFonts w:cs="Times New Roman"/>
          <w:sz w:val="24"/>
          <w:szCs w:val="24"/>
        </w:rPr>
        <w:t>are not providing additional revenues for other localities purposes unrelated to providing and maintaining the ROW</w:t>
      </w:r>
      <w:r w:rsidRPr="00EF6B28">
        <w:rPr>
          <w:rFonts w:cs="Times New Roman"/>
          <w:sz w:val="24"/>
          <w:szCs w:val="24"/>
        </w:rPr>
        <w:t>, and would provide some basis to challenge fees that, on their face, are so high as to suggest their sole intent is to maximize revenue.  For example, record evidence shows some providers are charged around $10,000.00 per wireless node in up-front licensing and application charges, and similar annual rents.  Several commenters also cited a Eugene, Oregon, ordinance that requires broadband providers to pay the municipality seven percent of their broadband revenues for access to the public ROW, despite the fact that many providers are offering their service over existing plant for which they are already paying a franchise fee.  The Commission could also establish a presumptively reasonable “safe harbor” for certain ROW</w:t>
      </w:r>
      <w:r>
        <w:rPr>
          <w:rFonts w:cs="Times New Roman"/>
          <w:sz w:val="24"/>
          <w:szCs w:val="24"/>
        </w:rPr>
        <w:t xml:space="preserve"> and use</w:t>
      </w:r>
      <w:r w:rsidRPr="00EF6B28">
        <w:rPr>
          <w:rFonts w:cs="Times New Roman"/>
          <w:sz w:val="24"/>
          <w:szCs w:val="24"/>
        </w:rPr>
        <w:t xml:space="preserve"> fees, although the Working Group acknowledges this may be a challenge considering some similar services are nonetheless governed by different statutory fee rules. </w:t>
      </w:r>
    </w:p>
    <w:p w:rsidR="00507E21" w:rsidRDefault="00507E21" w:rsidP="00507E21">
      <w:pPr>
        <w:pStyle w:val="ListParagraph"/>
        <w:numPr>
          <w:ilvl w:val="0"/>
          <w:numId w:val="25"/>
        </w:numPr>
        <w:spacing w:after="0" w:line="240" w:lineRule="auto"/>
        <w:rPr>
          <w:rFonts w:cs="Times New Roman"/>
          <w:sz w:val="24"/>
          <w:szCs w:val="24"/>
        </w:rPr>
      </w:pPr>
      <w:r w:rsidRPr="00F64914">
        <w:rPr>
          <w:rFonts w:cs="Times New Roman"/>
          <w:b/>
          <w:bCs/>
          <w:sz w:val="24"/>
          <w:szCs w:val="24"/>
        </w:rPr>
        <w:t>The Working Group also encourages the Commission to eliminate certain practices that the record suggests unreasonably restrict deployment.</w:t>
      </w:r>
      <w:r w:rsidRPr="003F65A9">
        <w:rPr>
          <w:rFonts w:cs="Times New Roman"/>
          <w:sz w:val="24"/>
          <w:szCs w:val="24"/>
        </w:rPr>
        <w:t xml:space="preserve">  For example, the FCC should discourage</w:t>
      </w:r>
      <w:r>
        <w:rPr>
          <w:rFonts w:cs="Times New Roman"/>
          <w:sz w:val="24"/>
          <w:szCs w:val="24"/>
        </w:rPr>
        <w:t xml:space="preserve"> the practice of</w:t>
      </w:r>
      <w:r w:rsidRPr="003F65A9">
        <w:rPr>
          <w:rFonts w:cs="Times New Roman"/>
          <w:sz w:val="24"/>
          <w:szCs w:val="24"/>
        </w:rPr>
        <w:t xml:space="preserve"> requir</w:t>
      </w:r>
      <w:r>
        <w:rPr>
          <w:rFonts w:cs="Times New Roman"/>
          <w:sz w:val="24"/>
          <w:szCs w:val="24"/>
        </w:rPr>
        <w:t>ing broadband</w:t>
      </w:r>
      <w:r w:rsidRPr="003F65A9">
        <w:rPr>
          <w:rFonts w:cs="Times New Roman"/>
          <w:sz w:val="24"/>
          <w:szCs w:val="24"/>
        </w:rPr>
        <w:t xml:space="preserve"> providers obtain additional franchise agreements</w:t>
      </w:r>
      <w:r>
        <w:rPr>
          <w:rFonts w:cs="Times New Roman"/>
          <w:sz w:val="24"/>
          <w:szCs w:val="24"/>
        </w:rPr>
        <w:t>,</w:t>
      </w:r>
      <w:r w:rsidRPr="003F65A9">
        <w:rPr>
          <w:rFonts w:cs="Times New Roman"/>
          <w:sz w:val="24"/>
          <w:szCs w:val="24"/>
        </w:rPr>
        <w:t xml:space="preserve"> or pay additional fees</w:t>
      </w:r>
      <w:r>
        <w:rPr>
          <w:rFonts w:cs="Times New Roman"/>
          <w:sz w:val="24"/>
          <w:szCs w:val="24"/>
        </w:rPr>
        <w:t xml:space="preserve">, </w:t>
      </w:r>
      <w:r w:rsidRPr="003F65A9">
        <w:rPr>
          <w:rFonts w:cs="Times New Roman"/>
          <w:sz w:val="24"/>
          <w:szCs w:val="24"/>
        </w:rPr>
        <w:t>to</w:t>
      </w:r>
      <w:r>
        <w:rPr>
          <w:rFonts w:cs="Times New Roman"/>
          <w:sz w:val="24"/>
          <w:szCs w:val="24"/>
        </w:rPr>
        <w:t xml:space="preserve"> deploy broadband facilities within </w:t>
      </w:r>
      <w:r w:rsidRPr="003F65A9">
        <w:rPr>
          <w:rFonts w:cs="Times New Roman"/>
          <w:sz w:val="24"/>
          <w:szCs w:val="24"/>
        </w:rPr>
        <w:t>the ROW</w:t>
      </w:r>
      <w:r>
        <w:rPr>
          <w:rFonts w:cs="Times New Roman"/>
          <w:sz w:val="24"/>
          <w:szCs w:val="24"/>
        </w:rPr>
        <w:t xml:space="preserve"> </w:t>
      </w:r>
      <w:r w:rsidRPr="003F65A9">
        <w:rPr>
          <w:rFonts w:cs="Times New Roman"/>
          <w:sz w:val="24"/>
          <w:szCs w:val="24"/>
        </w:rPr>
        <w:t xml:space="preserve">when </w:t>
      </w:r>
      <w:r>
        <w:rPr>
          <w:rFonts w:cs="Times New Roman"/>
          <w:sz w:val="24"/>
          <w:szCs w:val="24"/>
        </w:rPr>
        <w:t>they have already paid to access the ROW</w:t>
      </w:r>
      <w:r w:rsidRPr="003F65A9">
        <w:rPr>
          <w:rFonts w:cs="Times New Roman"/>
          <w:sz w:val="24"/>
          <w:szCs w:val="24"/>
        </w:rPr>
        <w:t xml:space="preserve"> and the additional </w:t>
      </w:r>
      <w:r>
        <w:rPr>
          <w:rFonts w:cs="Times New Roman"/>
          <w:sz w:val="24"/>
          <w:szCs w:val="24"/>
        </w:rPr>
        <w:t>facilities</w:t>
      </w:r>
      <w:r w:rsidRPr="003F65A9">
        <w:rPr>
          <w:rFonts w:cs="Times New Roman"/>
          <w:sz w:val="24"/>
          <w:szCs w:val="24"/>
        </w:rPr>
        <w:t xml:space="preserve"> do not impose more burdens on the municipality.  The Commission can also discourage states and localities from transferring to providers unending consulting fees by limiting to what extent consulting fees are considered “fair and reasonable,” and prohibit contingency-based compensation for consultants.</w:t>
      </w:r>
      <w:r>
        <w:rPr>
          <w:rFonts w:cs="Times New Roman"/>
          <w:sz w:val="24"/>
          <w:szCs w:val="24"/>
        </w:rPr>
        <w:t xml:space="preserve"> </w:t>
      </w:r>
    </w:p>
    <w:p w:rsidR="00507E21" w:rsidRPr="00EF6B28" w:rsidRDefault="00507E21" w:rsidP="00507E21">
      <w:pPr>
        <w:pStyle w:val="ListParagraph"/>
        <w:numPr>
          <w:ilvl w:val="0"/>
          <w:numId w:val="25"/>
        </w:numPr>
        <w:spacing w:after="0" w:line="240" w:lineRule="auto"/>
        <w:rPr>
          <w:rFonts w:cs="Times New Roman"/>
          <w:sz w:val="24"/>
          <w:szCs w:val="24"/>
        </w:rPr>
      </w:pPr>
      <w:r>
        <w:rPr>
          <w:rFonts w:cs="Times New Roman"/>
          <w:b/>
          <w:bCs/>
          <w:sz w:val="24"/>
          <w:szCs w:val="24"/>
        </w:rPr>
        <w:t>T</w:t>
      </w:r>
      <w:r w:rsidRPr="00EF6B28">
        <w:rPr>
          <w:rFonts w:cs="Times New Roman"/>
          <w:b/>
          <w:bCs/>
          <w:sz w:val="24"/>
          <w:szCs w:val="24"/>
        </w:rPr>
        <w:t>he Working Group acknowledges that the Commission has many tools to create positive changes throughout the siting process with respect to ROW fees.</w:t>
      </w:r>
      <w:r w:rsidRPr="00EF6B28">
        <w:rPr>
          <w:rFonts w:cs="Times New Roman"/>
          <w:sz w:val="24"/>
          <w:szCs w:val="24"/>
        </w:rPr>
        <w:t xml:space="preserve">  The Working Group advises the Commission to first ensure that the BDAC Model Code for States and Model Code for </w:t>
      </w:r>
      <w:r>
        <w:rPr>
          <w:rFonts w:cs="Times New Roman"/>
          <w:sz w:val="24"/>
          <w:szCs w:val="24"/>
        </w:rPr>
        <w:t>Localities</w:t>
      </w:r>
      <w:r w:rsidRPr="00EF6B28">
        <w:rPr>
          <w:rFonts w:cs="Times New Roman"/>
          <w:sz w:val="24"/>
          <w:szCs w:val="24"/>
        </w:rPr>
        <w:t xml:space="preserve"> each implement the fee-related policy recommendations described above.  As a next step, the Commission should consider enacting new rules in the </w:t>
      </w:r>
      <w:r w:rsidRPr="00EF6B28">
        <w:rPr>
          <w:rFonts w:cs="Times New Roman"/>
          <w:i/>
          <w:iCs/>
          <w:sz w:val="24"/>
          <w:szCs w:val="24"/>
        </w:rPr>
        <w:t xml:space="preserve">Accelerating Deployment </w:t>
      </w:r>
      <w:r w:rsidRPr="00EF6B28">
        <w:rPr>
          <w:rFonts w:cs="Times New Roman"/>
          <w:sz w:val="24"/>
          <w:szCs w:val="24"/>
        </w:rPr>
        <w:t xml:space="preserve">dockets, </w:t>
      </w:r>
      <w:r>
        <w:rPr>
          <w:rFonts w:cs="Times New Roman"/>
          <w:sz w:val="24"/>
          <w:szCs w:val="24"/>
        </w:rPr>
        <w:t xml:space="preserve">issuing a declaratory ruling providing guidance, </w:t>
      </w:r>
      <w:r w:rsidRPr="00EF6B28">
        <w:rPr>
          <w:rFonts w:cs="Times New Roman"/>
          <w:sz w:val="24"/>
          <w:szCs w:val="24"/>
        </w:rPr>
        <w:t>or developing best practices.  Including fee schedule disclosure as part of any “broadband certified” checklist would also support expedited deployment.</w:t>
      </w:r>
    </w:p>
    <w:p w:rsidR="00507E21" w:rsidRDefault="00507E21" w:rsidP="00507E21">
      <w:pPr>
        <w:spacing w:after="0" w:line="240" w:lineRule="auto"/>
        <w:rPr>
          <w:rFonts w:cs="Times New Roman"/>
          <w:sz w:val="24"/>
          <w:szCs w:val="24"/>
        </w:rPr>
      </w:pPr>
    </w:p>
    <w:p w:rsidR="00507E21" w:rsidRDefault="00507E21" w:rsidP="00507E21">
      <w:pPr>
        <w:spacing w:after="0" w:line="240" w:lineRule="auto"/>
        <w:rPr>
          <w:rFonts w:cs="Times New Roman"/>
          <w:sz w:val="24"/>
          <w:szCs w:val="24"/>
        </w:rPr>
      </w:pPr>
    </w:p>
    <w:p w:rsidR="00507E21" w:rsidRPr="00404DF7" w:rsidRDefault="00507E21" w:rsidP="005F251A">
      <w:pPr>
        <w:spacing w:after="0" w:line="240" w:lineRule="auto"/>
        <w:jc w:val="center"/>
        <w:rPr>
          <w:b/>
          <w:bCs/>
          <w:caps/>
          <w:sz w:val="24"/>
          <w:szCs w:val="24"/>
        </w:rPr>
      </w:pPr>
      <w:r w:rsidRPr="00B547C3">
        <w:rPr>
          <w:rFonts w:cs="Times New Roman"/>
          <w:sz w:val="24"/>
          <w:szCs w:val="24"/>
        </w:rPr>
        <w:br w:type="page"/>
      </w:r>
      <w:r w:rsidRPr="00404DF7">
        <w:rPr>
          <w:b/>
          <w:bCs/>
          <w:caps/>
          <w:sz w:val="24"/>
          <w:szCs w:val="24"/>
        </w:rPr>
        <w:lastRenderedPageBreak/>
        <w:t>Appendix D</w:t>
      </w:r>
    </w:p>
    <w:p w:rsidR="00507E21" w:rsidRPr="00404DF7" w:rsidRDefault="00507E21" w:rsidP="00507E21">
      <w:pPr>
        <w:spacing w:after="0" w:line="240" w:lineRule="auto"/>
        <w:jc w:val="center"/>
        <w:rPr>
          <w:b/>
          <w:caps/>
          <w:sz w:val="24"/>
          <w:szCs w:val="24"/>
        </w:rPr>
      </w:pPr>
    </w:p>
    <w:p w:rsidR="00507E21" w:rsidRPr="00404DF7" w:rsidRDefault="00507E21" w:rsidP="00507E21">
      <w:pPr>
        <w:spacing w:after="0" w:line="240" w:lineRule="auto"/>
        <w:jc w:val="center"/>
        <w:rPr>
          <w:b/>
          <w:bCs/>
          <w:caps/>
          <w:sz w:val="24"/>
          <w:szCs w:val="24"/>
        </w:rPr>
      </w:pPr>
      <w:bookmarkStart w:id="4" w:name="d"/>
      <w:r w:rsidRPr="00404DF7">
        <w:rPr>
          <w:b/>
          <w:bCs/>
          <w:caps/>
          <w:sz w:val="24"/>
          <w:szCs w:val="24"/>
        </w:rPr>
        <w:t>Inflexibility BARRIER</w:t>
      </w:r>
      <w:bookmarkEnd w:id="4"/>
      <w:r w:rsidRPr="00404DF7">
        <w:rPr>
          <w:b/>
          <w:bCs/>
          <w:caps/>
          <w:sz w:val="24"/>
          <w:szCs w:val="24"/>
        </w:rPr>
        <w:t>:</w:t>
      </w:r>
    </w:p>
    <w:p w:rsidR="00507E21" w:rsidRPr="00404DF7" w:rsidRDefault="00507E21" w:rsidP="00507E21">
      <w:pPr>
        <w:spacing w:after="0" w:line="240" w:lineRule="auto"/>
        <w:jc w:val="center"/>
        <w:rPr>
          <w:b/>
          <w:bCs/>
          <w:caps/>
          <w:sz w:val="24"/>
          <w:szCs w:val="24"/>
        </w:rPr>
      </w:pPr>
      <w:r w:rsidRPr="00404DF7">
        <w:rPr>
          <w:b/>
          <w:bCs/>
          <w:caps/>
          <w:sz w:val="24"/>
          <w:szCs w:val="24"/>
        </w:rPr>
        <w:t>ANALYSIS AND RECOMMENDATIONS</w:t>
      </w:r>
    </w:p>
    <w:p w:rsidR="00507E21" w:rsidRPr="00404DF7" w:rsidRDefault="00507E21" w:rsidP="00507E21">
      <w:pPr>
        <w:spacing w:after="0" w:line="240" w:lineRule="auto"/>
        <w:rPr>
          <w:b/>
          <w:sz w:val="24"/>
          <w:szCs w:val="24"/>
        </w:rPr>
      </w:pPr>
    </w:p>
    <w:p w:rsidR="00507E21" w:rsidRDefault="00507E21" w:rsidP="00507E21">
      <w:pPr>
        <w:spacing w:after="0" w:line="240" w:lineRule="auto"/>
        <w:rPr>
          <w:b/>
          <w:bCs/>
          <w:i/>
          <w:iCs/>
          <w:sz w:val="24"/>
          <w:szCs w:val="24"/>
        </w:rPr>
      </w:pPr>
      <w:r w:rsidRPr="00404DF7">
        <w:rPr>
          <w:b/>
          <w:bCs/>
          <w:smallCaps/>
          <w:sz w:val="24"/>
          <w:szCs w:val="24"/>
        </w:rPr>
        <w:t>Barrier Summary</w:t>
      </w:r>
      <w:r w:rsidRPr="00404DF7">
        <w:rPr>
          <w:b/>
          <w:bCs/>
          <w:i/>
          <w:iCs/>
          <w:sz w:val="24"/>
          <w:szCs w:val="24"/>
        </w:rPr>
        <w:t>.</w:t>
      </w:r>
      <w:r>
        <w:rPr>
          <w:b/>
          <w:bCs/>
          <w:i/>
          <w:iCs/>
          <w:sz w:val="24"/>
          <w:szCs w:val="24"/>
        </w:rPr>
        <w:t xml:space="preserve"> </w:t>
      </w:r>
      <w:r>
        <w:rPr>
          <w:sz w:val="24"/>
          <w:szCs w:val="24"/>
        </w:rPr>
        <w:t>This barrier</w:t>
      </w:r>
      <w:r w:rsidRPr="009F08DA">
        <w:rPr>
          <w:sz w:val="24"/>
          <w:szCs w:val="24"/>
        </w:rPr>
        <w:t xml:space="preserve"> arise</w:t>
      </w:r>
      <w:r>
        <w:rPr>
          <w:sz w:val="24"/>
          <w:szCs w:val="24"/>
        </w:rPr>
        <w:t>s</w:t>
      </w:r>
      <w:r w:rsidRPr="009F08DA">
        <w:rPr>
          <w:sz w:val="24"/>
          <w:szCs w:val="24"/>
        </w:rPr>
        <w:t xml:space="preserve"> when a </w:t>
      </w:r>
      <w:r>
        <w:rPr>
          <w:sz w:val="24"/>
          <w:szCs w:val="24"/>
        </w:rPr>
        <w:t>local government</w:t>
      </w:r>
      <w:r w:rsidRPr="009F08DA">
        <w:rPr>
          <w:sz w:val="24"/>
          <w:szCs w:val="24"/>
        </w:rPr>
        <w:t xml:space="preserve"> is either unwilling or unable to </w:t>
      </w:r>
      <w:r w:rsidRPr="00404DF7">
        <w:rPr>
          <w:sz w:val="24"/>
          <w:szCs w:val="24"/>
        </w:rPr>
        <w:t>appropriately adjust its review and approval processes to reflect different broadband technologies (</w:t>
      </w:r>
      <w:r w:rsidRPr="00404DF7">
        <w:rPr>
          <w:i/>
          <w:iCs/>
          <w:sz w:val="24"/>
          <w:szCs w:val="24"/>
        </w:rPr>
        <w:t>e.g.</w:t>
      </w:r>
      <w:r w:rsidRPr="00404DF7">
        <w:rPr>
          <w:sz w:val="24"/>
          <w:szCs w:val="24"/>
        </w:rPr>
        <w:t>, 4G v. 5G) or deployment strategies (</w:t>
      </w:r>
      <w:r w:rsidRPr="00404DF7">
        <w:rPr>
          <w:i/>
          <w:iCs/>
          <w:sz w:val="24"/>
          <w:szCs w:val="24"/>
        </w:rPr>
        <w:t>e.g.</w:t>
      </w:r>
      <w:r w:rsidRPr="00404DF7">
        <w:rPr>
          <w:sz w:val="24"/>
          <w:szCs w:val="24"/>
        </w:rPr>
        <w:t>, undergrounding v. aerial)</w:t>
      </w:r>
    </w:p>
    <w:p w:rsidR="00507E21" w:rsidRDefault="00507E21" w:rsidP="00507E21">
      <w:pPr>
        <w:spacing w:after="0" w:line="240" w:lineRule="auto"/>
        <w:rPr>
          <w:b/>
          <w:bCs/>
          <w:i/>
          <w:iCs/>
          <w:sz w:val="24"/>
          <w:szCs w:val="24"/>
        </w:rPr>
      </w:pPr>
    </w:p>
    <w:p w:rsidR="00507E21" w:rsidRPr="00B547C3" w:rsidRDefault="00507E21" w:rsidP="00507E21">
      <w:pPr>
        <w:spacing w:after="0" w:line="240" w:lineRule="auto"/>
        <w:rPr>
          <w:sz w:val="24"/>
          <w:szCs w:val="24"/>
        </w:rPr>
      </w:pPr>
      <w:r w:rsidRPr="0069105A">
        <w:rPr>
          <w:b/>
          <w:bCs/>
          <w:smallCaps/>
          <w:sz w:val="24"/>
          <w:szCs w:val="24"/>
        </w:rPr>
        <w:t>Why This Barrier Arises</w:t>
      </w:r>
      <w:r w:rsidRPr="0069105A">
        <w:rPr>
          <w:b/>
          <w:bCs/>
          <w:i/>
          <w:iCs/>
          <w:sz w:val="24"/>
          <w:szCs w:val="24"/>
        </w:rPr>
        <w:t xml:space="preserve">. </w:t>
      </w:r>
      <w:r w:rsidRPr="00B547C3">
        <w:rPr>
          <w:sz w:val="24"/>
          <w:szCs w:val="24"/>
        </w:rPr>
        <w:t>There are several instances when an inflexibility barrier might arise:</w:t>
      </w:r>
    </w:p>
    <w:p w:rsidR="00507E21" w:rsidRPr="00253C33" w:rsidRDefault="00507E21" w:rsidP="00507E21">
      <w:pPr>
        <w:pStyle w:val="ListParagraph"/>
        <w:numPr>
          <w:ilvl w:val="0"/>
          <w:numId w:val="26"/>
        </w:numPr>
        <w:spacing w:after="0" w:line="240" w:lineRule="auto"/>
        <w:rPr>
          <w:sz w:val="24"/>
          <w:szCs w:val="24"/>
        </w:rPr>
      </w:pPr>
      <w:r w:rsidRPr="00253C33">
        <w:rPr>
          <w:sz w:val="24"/>
          <w:szCs w:val="24"/>
        </w:rPr>
        <w:t xml:space="preserve">Cities might be unwilling to change their review processes because they do not see the use in changing procedures that they perceive as working well. This likely stems from a lack of understanding of differences in how new technologies are deployed. </w:t>
      </w:r>
    </w:p>
    <w:p w:rsidR="00507E21" w:rsidRPr="00253C33" w:rsidRDefault="00507E21" w:rsidP="00507E21">
      <w:pPr>
        <w:pStyle w:val="ListParagraph"/>
        <w:numPr>
          <w:ilvl w:val="0"/>
          <w:numId w:val="26"/>
        </w:numPr>
        <w:spacing w:after="0" w:line="240" w:lineRule="auto"/>
        <w:rPr>
          <w:bCs/>
          <w:iCs/>
          <w:sz w:val="24"/>
          <w:szCs w:val="24"/>
        </w:rPr>
      </w:pPr>
      <w:r w:rsidRPr="00253C33">
        <w:rPr>
          <w:sz w:val="24"/>
          <w:szCs w:val="24"/>
        </w:rPr>
        <w:t xml:space="preserve">Some cities might be intentionally inflexible because existing procedures embody their preferences, values, etc. for how networks should be built. </w:t>
      </w:r>
    </w:p>
    <w:p w:rsidR="00507E21" w:rsidRPr="00253C33" w:rsidRDefault="00507E21" w:rsidP="00507E21">
      <w:pPr>
        <w:pStyle w:val="ListParagraph"/>
        <w:numPr>
          <w:ilvl w:val="0"/>
          <w:numId w:val="26"/>
        </w:numPr>
        <w:spacing w:after="0" w:line="240" w:lineRule="auto"/>
        <w:rPr>
          <w:bCs/>
          <w:iCs/>
          <w:sz w:val="24"/>
          <w:szCs w:val="24"/>
        </w:rPr>
      </w:pPr>
      <w:r w:rsidRPr="00253C33">
        <w:rPr>
          <w:sz w:val="24"/>
          <w:szCs w:val="24"/>
        </w:rPr>
        <w:t>Other cities might be unintentionally inflexible due to lack of resources, technical expertise, or general knowledge of new broadband network characteristics. Deployment moratoria and other process-related delays might arise as a result as cities attempt to clear a backlog of applications, seek to acquire the information to make informed decisions, etc.</w:t>
      </w:r>
    </w:p>
    <w:p w:rsidR="00507E21" w:rsidRPr="00B222AE" w:rsidRDefault="00507E21" w:rsidP="00507E21">
      <w:pPr>
        <w:spacing w:after="0" w:line="240" w:lineRule="auto"/>
        <w:rPr>
          <w:sz w:val="24"/>
          <w:szCs w:val="24"/>
        </w:rPr>
      </w:pPr>
    </w:p>
    <w:p w:rsidR="00507E21" w:rsidRPr="00B222AE" w:rsidRDefault="00507E21" w:rsidP="00507E21">
      <w:pPr>
        <w:spacing w:after="0" w:line="240" w:lineRule="auto"/>
        <w:rPr>
          <w:sz w:val="24"/>
          <w:szCs w:val="24"/>
        </w:rPr>
      </w:pPr>
      <w:r w:rsidRPr="00B222AE">
        <w:rPr>
          <w:b/>
          <w:bCs/>
          <w:smallCaps/>
          <w:sz w:val="24"/>
          <w:szCs w:val="24"/>
        </w:rPr>
        <w:t>Recommendations</w:t>
      </w:r>
      <w:r w:rsidRPr="00B222AE">
        <w:rPr>
          <w:b/>
          <w:bCs/>
          <w:i/>
          <w:iCs/>
          <w:sz w:val="24"/>
          <w:szCs w:val="24"/>
        </w:rPr>
        <w:t>.</w:t>
      </w:r>
    </w:p>
    <w:p w:rsidR="00507E21" w:rsidRDefault="00507E21" w:rsidP="00507E21">
      <w:pPr>
        <w:pStyle w:val="ListParagraph"/>
        <w:numPr>
          <w:ilvl w:val="0"/>
          <w:numId w:val="27"/>
        </w:numPr>
        <w:spacing w:after="0" w:line="240" w:lineRule="auto"/>
        <w:rPr>
          <w:sz w:val="24"/>
          <w:szCs w:val="24"/>
        </w:rPr>
      </w:pPr>
      <w:r w:rsidRPr="00C329B7">
        <w:rPr>
          <w:b/>
          <w:i/>
          <w:iCs/>
          <w:sz w:val="24"/>
          <w:szCs w:val="24"/>
        </w:rPr>
        <w:t>“</w:t>
      </w:r>
      <w:r w:rsidRPr="00C329B7">
        <w:rPr>
          <w:b/>
          <w:i/>
          <w:sz w:val="24"/>
        </w:rPr>
        <w:t>Broadband Ready” Certification Checklists</w:t>
      </w:r>
      <w:r w:rsidRPr="00C329B7">
        <w:rPr>
          <w:b/>
          <w:i/>
          <w:iCs/>
          <w:sz w:val="24"/>
          <w:szCs w:val="24"/>
        </w:rPr>
        <w:t>.</w:t>
      </w:r>
      <w:r w:rsidRPr="001E5F5B">
        <w:rPr>
          <w:i/>
          <w:iCs/>
          <w:sz w:val="24"/>
          <w:szCs w:val="24"/>
        </w:rPr>
        <w:t xml:space="preserve"> </w:t>
      </w:r>
      <w:r w:rsidRPr="001E5F5B">
        <w:rPr>
          <w:sz w:val="24"/>
          <w:szCs w:val="24"/>
        </w:rPr>
        <w:t xml:space="preserve">The FCC should either develop or encourage states to develop a process (checklist) by which </w:t>
      </w:r>
      <w:r>
        <w:rPr>
          <w:sz w:val="24"/>
          <w:szCs w:val="24"/>
        </w:rPr>
        <w:t>localities</w:t>
      </w:r>
      <w:r w:rsidRPr="001E5F5B">
        <w:rPr>
          <w:sz w:val="24"/>
          <w:szCs w:val="24"/>
        </w:rPr>
        <w:t xml:space="preserve"> can certify that they are “broadband ready.” Such could be modeled on processes/checklists set forth in legislation recently enacted in Indiana and Wisconsin. Certification might include, at a minimum, requirements around:</w:t>
      </w:r>
    </w:p>
    <w:p w:rsidR="00507E21" w:rsidRDefault="00507E21" w:rsidP="00507E21">
      <w:pPr>
        <w:pStyle w:val="ListParagraph"/>
        <w:numPr>
          <w:ilvl w:val="1"/>
          <w:numId w:val="27"/>
        </w:numPr>
        <w:spacing w:after="0" w:line="240" w:lineRule="auto"/>
        <w:rPr>
          <w:sz w:val="24"/>
          <w:szCs w:val="24"/>
        </w:rPr>
      </w:pPr>
      <w:r w:rsidRPr="001E5F5B">
        <w:rPr>
          <w:sz w:val="24"/>
          <w:szCs w:val="24"/>
        </w:rPr>
        <w:t>Specific commitments related to the determination of permit completeness (e.g., 10 days) and final approval or rejection (e.g., 60 days);</w:t>
      </w:r>
    </w:p>
    <w:p w:rsidR="00507E21" w:rsidRDefault="00507E21" w:rsidP="00507E21">
      <w:pPr>
        <w:pStyle w:val="ListParagraph"/>
        <w:numPr>
          <w:ilvl w:val="1"/>
          <w:numId w:val="27"/>
        </w:numPr>
        <w:spacing w:after="0" w:line="240" w:lineRule="auto"/>
        <w:rPr>
          <w:sz w:val="24"/>
          <w:szCs w:val="24"/>
        </w:rPr>
      </w:pPr>
      <w:r w:rsidRPr="001E5F5B">
        <w:rPr>
          <w:sz w:val="24"/>
          <w:szCs w:val="24"/>
        </w:rPr>
        <w:t xml:space="preserve">Transparency and reasonable fees associated with the broadband investments; and </w:t>
      </w:r>
    </w:p>
    <w:p w:rsidR="00507E21" w:rsidRDefault="00507E21" w:rsidP="00507E21">
      <w:pPr>
        <w:pStyle w:val="ListParagraph"/>
        <w:numPr>
          <w:ilvl w:val="1"/>
          <w:numId w:val="27"/>
        </w:numPr>
        <w:spacing w:after="0" w:line="240" w:lineRule="auto"/>
        <w:rPr>
          <w:sz w:val="24"/>
          <w:szCs w:val="24"/>
        </w:rPr>
      </w:pPr>
      <w:r w:rsidRPr="001E5F5B">
        <w:rPr>
          <w:sz w:val="24"/>
          <w:szCs w:val="24"/>
        </w:rPr>
        <w:t>Designating a single point of contact for broadband projects</w:t>
      </w:r>
      <w:r>
        <w:rPr>
          <w:sz w:val="24"/>
          <w:szCs w:val="24"/>
        </w:rPr>
        <w:t>. This</w:t>
      </w:r>
      <w:r w:rsidRPr="001E5F5B">
        <w:rPr>
          <w:sz w:val="24"/>
          <w:szCs w:val="24"/>
        </w:rPr>
        <w:t xml:space="preserve"> would allow broadband providers to know exactly who is responsible for the timelines outlined in the law.</w:t>
      </w:r>
    </w:p>
    <w:p w:rsidR="00507E21" w:rsidRPr="00253C33" w:rsidRDefault="00507E21" w:rsidP="00507E21">
      <w:pPr>
        <w:pStyle w:val="ListParagraph"/>
        <w:numPr>
          <w:ilvl w:val="0"/>
          <w:numId w:val="27"/>
        </w:numPr>
        <w:spacing w:after="0" w:line="240" w:lineRule="auto"/>
        <w:rPr>
          <w:sz w:val="24"/>
          <w:szCs w:val="24"/>
        </w:rPr>
      </w:pPr>
      <w:r w:rsidRPr="00C329B7">
        <w:rPr>
          <w:b/>
          <w:i/>
          <w:sz w:val="24"/>
        </w:rPr>
        <w:t>Other Legislative Guidance</w:t>
      </w:r>
      <w:r w:rsidRPr="00C329B7">
        <w:rPr>
          <w:b/>
          <w:i/>
          <w:iCs/>
          <w:sz w:val="24"/>
          <w:szCs w:val="24"/>
        </w:rPr>
        <w:t>.</w:t>
      </w:r>
      <w:r w:rsidRPr="00253C33">
        <w:rPr>
          <w:i/>
          <w:iCs/>
          <w:sz w:val="24"/>
          <w:szCs w:val="24"/>
        </w:rPr>
        <w:t xml:space="preserve"> </w:t>
      </w:r>
      <w:r w:rsidRPr="00253C33">
        <w:rPr>
          <w:sz w:val="24"/>
          <w:szCs w:val="24"/>
        </w:rPr>
        <w:t>The FCC should encourage states, working with localities and other stakeholders, to adopt legislation that clarifies for localities that new broadband technologies and network deployment strategies require different review and approval processes at the local level. A possible first step would be for the FCC – either on its own or via BDAC and its working groups – to work with national organizations representing state and municipal policymakers to develop and promote model codes that could be implemented across the country.</w:t>
      </w:r>
    </w:p>
    <w:p w:rsidR="00507E21" w:rsidRDefault="00507E21" w:rsidP="00507E21">
      <w:pPr>
        <w:pStyle w:val="ListParagraph"/>
        <w:numPr>
          <w:ilvl w:val="0"/>
          <w:numId w:val="27"/>
        </w:numPr>
        <w:spacing w:after="0" w:line="240" w:lineRule="auto"/>
        <w:rPr>
          <w:sz w:val="24"/>
          <w:szCs w:val="24"/>
        </w:rPr>
      </w:pPr>
      <w:r w:rsidRPr="00C329B7">
        <w:rPr>
          <w:b/>
          <w:i/>
          <w:sz w:val="24"/>
        </w:rPr>
        <w:t>Provider-Driven Education &amp; Outreach</w:t>
      </w:r>
      <w:r w:rsidRPr="00C329B7">
        <w:rPr>
          <w:b/>
          <w:i/>
          <w:iCs/>
          <w:sz w:val="24"/>
          <w:szCs w:val="24"/>
        </w:rPr>
        <w:t>.</w:t>
      </w:r>
      <w:r w:rsidRPr="001E5F5B">
        <w:rPr>
          <w:i/>
          <w:iCs/>
          <w:sz w:val="24"/>
          <w:szCs w:val="24"/>
        </w:rPr>
        <w:t xml:space="preserve"> </w:t>
      </w:r>
      <w:r w:rsidRPr="001E5F5B">
        <w:rPr>
          <w:sz w:val="24"/>
          <w:szCs w:val="24"/>
        </w:rPr>
        <w:t xml:space="preserve">The FCC should encourage greater collaboration between providers seeking to deploy new facilities and local officials tasked with reviewing applications for such. In a growing number of instances, such close </w:t>
      </w:r>
      <w:r w:rsidRPr="001E5F5B">
        <w:rPr>
          <w:sz w:val="24"/>
          <w:szCs w:val="24"/>
        </w:rPr>
        <w:lastRenderedPageBreak/>
        <w:t xml:space="preserve">consultation has assisted </w:t>
      </w:r>
      <w:r>
        <w:rPr>
          <w:sz w:val="24"/>
          <w:szCs w:val="24"/>
        </w:rPr>
        <w:t>localities</w:t>
      </w:r>
      <w:r w:rsidRPr="001E5F5B">
        <w:rPr>
          <w:sz w:val="24"/>
          <w:szCs w:val="24"/>
        </w:rPr>
        <w:t xml:space="preserve"> in more rapidly understanding technical aspects of new broadband networks, which in turn has helped to hasten agreement to ROW access and other critical elements of network deployment. </w:t>
      </w:r>
    </w:p>
    <w:p w:rsidR="00507E21" w:rsidRDefault="00507E21" w:rsidP="00507E21">
      <w:pPr>
        <w:pStyle w:val="ListParagraph"/>
        <w:numPr>
          <w:ilvl w:val="0"/>
          <w:numId w:val="27"/>
        </w:numPr>
        <w:spacing w:after="0" w:line="240" w:lineRule="auto"/>
        <w:rPr>
          <w:sz w:val="24"/>
          <w:szCs w:val="24"/>
        </w:rPr>
      </w:pPr>
      <w:r w:rsidRPr="00C329B7">
        <w:rPr>
          <w:b/>
          <w:i/>
          <w:sz w:val="24"/>
        </w:rPr>
        <w:t>Additional Educational Opportunities</w:t>
      </w:r>
      <w:r w:rsidRPr="00C329B7">
        <w:rPr>
          <w:b/>
          <w:i/>
          <w:iCs/>
          <w:sz w:val="24"/>
          <w:szCs w:val="24"/>
        </w:rPr>
        <w:t>.</w:t>
      </w:r>
      <w:r w:rsidRPr="001E5F5B">
        <w:rPr>
          <w:i/>
          <w:iCs/>
          <w:sz w:val="24"/>
          <w:szCs w:val="24"/>
        </w:rPr>
        <w:t xml:space="preserve"> </w:t>
      </w:r>
      <w:r w:rsidRPr="001E5F5B">
        <w:rPr>
          <w:sz w:val="24"/>
          <w:szCs w:val="24"/>
        </w:rPr>
        <w:t>The FCC should explore how to leverage other expert stakeholders to provide localities and states with opportunities for acquiring the knowledge and skills needed to streamline the deployment of new broadband networks. These efforts might include:</w:t>
      </w:r>
    </w:p>
    <w:p w:rsidR="00507E21" w:rsidRDefault="00507E21" w:rsidP="00507E21">
      <w:pPr>
        <w:pStyle w:val="ListParagraph"/>
        <w:numPr>
          <w:ilvl w:val="1"/>
          <w:numId w:val="27"/>
        </w:numPr>
        <w:spacing w:after="0" w:line="240" w:lineRule="auto"/>
        <w:rPr>
          <w:sz w:val="24"/>
          <w:szCs w:val="24"/>
        </w:rPr>
      </w:pPr>
      <w:r w:rsidRPr="004D01E1">
        <w:rPr>
          <w:sz w:val="24"/>
          <w:szCs w:val="24"/>
        </w:rPr>
        <w:t>The convening of regional roundtables and/or online forums wherein state and local officials could gather for practical training, educational sessions, and the sharing of best practices. These might be modeled on workshops and webinars organized and hosted by NTIA over the last few years and could be broadened to include municipal and state perspectives to educate industry on how best to work with them.</w:t>
      </w:r>
    </w:p>
    <w:p w:rsidR="00507E21" w:rsidRDefault="00507E21" w:rsidP="00507E21">
      <w:pPr>
        <w:pStyle w:val="ListParagraph"/>
        <w:numPr>
          <w:ilvl w:val="1"/>
          <w:numId w:val="27"/>
        </w:numPr>
        <w:spacing w:after="0" w:line="240" w:lineRule="auto"/>
        <w:rPr>
          <w:sz w:val="24"/>
          <w:szCs w:val="24"/>
        </w:rPr>
      </w:pPr>
      <w:r w:rsidRPr="004D01E1">
        <w:rPr>
          <w:sz w:val="24"/>
          <w:szCs w:val="24"/>
        </w:rPr>
        <w:t xml:space="preserve">Designating a handful of higher educational institutions in key parts of the U.S. as hubs where </w:t>
      </w:r>
      <w:r>
        <w:rPr>
          <w:sz w:val="24"/>
          <w:szCs w:val="24"/>
        </w:rPr>
        <w:t>localities</w:t>
      </w:r>
      <w:r w:rsidRPr="004D01E1">
        <w:rPr>
          <w:sz w:val="24"/>
          <w:szCs w:val="24"/>
        </w:rPr>
        <w:t xml:space="preserve"> and states in their regions might go for expert advice, resources, best practices, case studies, etc.</w:t>
      </w:r>
    </w:p>
    <w:p w:rsidR="00507E21" w:rsidRDefault="00507E21" w:rsidP="00507E21">
      <w:pPr>
        <w:pStyle w:val="ListParagraph"/>
        <w:numPr>
          <w:ilvl w:val="1"/>
          <w:numId w:val="27"/>
        </w:numPr>
        <w:spacing w:after="0" w:line="240" w:lineRule="auto"/>
        <w:rPr>
          <w:sz w:val="24"/>
          <w:szCs w:val="24"/>
        </w:rPr>
      </w:pPr>
      <w:r w:rsidRPr="004D01E1">
        <w:rPr>
          <w:sz w:val="24"/>
          <w:szCs w:val="24"/>
        </w:rPr>
        <w:t>Encouraging communities to work together and share resources to better address novel issues as they arise. The FCC could help to facilitate the creation of an information-sharing hub and/or a digital platform through which similarly situated communities could identify one another and connect.</w:t>
      </w:r>
    </w:p>
    <w:p w:rsidR="00507E21" w:rsidRDefault="00507E21" w:rsidP="00507E21">
      <w:pPr>
        <w:pStyle w:val="ListParagraph"/>
        <w:numPr>
          <w:ilvl w:val="1"/>
          <w:numId w:val="27"/>
        </w:numPr>
        <w:spacing w:after="0" w:line="240" w:lineRule="auto"/>
        <w:rPr>
          <w:sz w:val="24"/>
          <w:szCs w:val="24"/>
        </w:rPr>
      </w:pPr>
      <w:r w:rsidRPr="004D01E1">
        <w:rPr>
          <w:sz w:val="24"/>
          <w:szCs w:val="24"/>
        </w:rPr>
        <w:t>Partnering with relevant national associations (e.g., NCSL, NGA, USCM) to develop and disseminate tool kits, best practices, etc.</w:t>
      </w:r>
    </w:p>
    <w:p w:rsidR="00507E21" w:rsidRDefault="00507E21" w:rsidP="00507E21">
      <w:pPr>
        <w:pStyle w:val="ListParagraph"/>
        <w:numPr>
          <w:ilvl w:val="1"/>
          <w:numId w:val="27"/>
        </w:numPr>
        <w:spacing w:after="0" w:line="240" w:lineRule="auto"/>
        <w:rPr>
          <w:sz w:val="24"/>
          <w:szCs w:val="24"/>
        </w:rPr>
      </w:pPr>
      <w:r w:rsidRPr="004D01E1">
        <w:rPr>
          <w:sz w:val="24"/>
          <w:szCs w:val="24"/>
        </w:rPr>
        <w:t>Development of an online “master” guidebook for use by local officials when engaging in reviews for new network deployments.</w:t>
      </w:r>
    </w:p>
    <w:p w:rsidR="00507E21" w:rsidRPr="004D01E1" w:rsidRDefault="00507E21" w:rsidP="00507E21">
      <w:pPr>
        <w:pStyle w:val="ListParagraph"/>
        <w:numPr>
          <w:ilvl w:val="0"/>
          <w:numId w:val="27"/>
        </w:numPr>
        <w:spacing w:after="0" w:line="240" w:lineRule="auto"/>
        <w:rPr>
          <w:sz w:val="24"/>
          <w:szCs w:val="24"/>
        </w:rPr>
      </w:pPr>
      <w:r w:rsidRPr="00C329B7">
        <w:rPr>
          <w:b/>
          <w:i/>
          <w:sz w:val="24"/>
        </w:rPr>
        <w:t>Identify Incentives to Assure Forward Progress</w:t>
      </w:r>
      <w:r w:rsidRPr="00C329B7">
        <w:rPr>
          <w:b/>
          <w:i/>
          <w:iCs/>
          <w:sz w:val="24"/>
          <w:szCs w:val="24"/>
        </w:rPr>
        <w:t>.</w:t>
      </w:r>
      <w:r w:rsidRPr="004D01E1">
        <w:rPr>
          <w:i/>
          <w:iCs/>
          <w:sz w:val="24"/>
          <w:szCs w:val="24"/>
        </w:rPr>
        <w:t xml:space="preserve"> </w:t>
      </w:r>
      <w:r w:rsidRPr="004D01E1">
        <w:rPr>
          <w:sz w:val="24"/>
          <w:szCs w:val="24"/>
        </w:rPr>
        <w:t xml:space="preserve">The FCC should explore funding for  states and localities to engage in the kinds of educational and self-improvement activities described above. </w:t>
      </w:r>
    </w:p>
    <w:p w:rsidR="00507E21" w:rsidRDefault="00507E21" w:rsidP="00507E21">
      <w:pPr>
        <w:spacing w:after="0" w:line="240" w:lineRule="auto"/>
      </w:pPr>
    </w:p>
    <w:p w:rsidR="00507E21" w:rsidRPr="00404DF7" w:rsidRDefault="00507E21" w:rsidP="005F251A">
      <w:pPr>
        <w:spacing w:after="0" w:line="240" w:lineRule="auto"/>
        <w:jc w:val="center"/>
        <w:rPr>
          <w:b/>
          <w:bCs/>
          <w:caps/>
          <w:sz w:val="24"/>
          <w:szCs w:val="24"/>
        </w:rPr>
      </w:pPr>
      <w:r w:rsidRPr="0069105A">
        <w:rPr>
          <w:b/>
          <w:sz w:val="24"/>
          <w:szCs w:val="24"/>
        </w:rPr>
        <w:br w:type="page"/>
      </w:r>
      <w:r w:rsidRPr="00404DF7">
        <w:rPr>
          <w:b/>
          <w:bCs/>
          <w:caps/>
          <w:sz w:val="24"/>
          <w:szCs w:val="24"/>
        </w:rPr>
        <w:lastRenderedPageBreak/>
        <w:t>Appendix E</w:t>
      </w:r>
    </w:p>
    <w:p w:rsidR="00507E21" w:rsidRPr="00404DF7" w:rsidRDefault="00507E21" w:rsidP="00507E21">
      <w:pPr>
        <w:spacing w:after="0" w:line="240" w:lineRule="auto"/>
        <w:jc w:val="center"/>
        <w:rPr>
          <w:b/>
          <w:caps/>
          <w:sz w:val="24"/>
          <w:szCs w:val="24"/>
        </w:rPr>
      </w:pPr>
    </w:p>
    <w:p w:rsidR="00507E21" w:rsidRPr="00404DF7" w:rsidRDefault="00507E21" w:rsidP="00507E21">
      <w:pPr>
        <w:spacing w:after="0" w:line="240" w:lineRule="auto"/>
        <w:jc w:val="center"/>
        <w:rPr>
          <w:b/>
          <w:bCs/>
          <w:caps/>
          <w:sz w:val="24"/>
          <w:szCs w:val="24"/>
        </w:rPr>
      </w:pPr>
      <w:bookmarkStart w:id="5" w:name="e"/>
      <w:r w:rsidRPr="00404DF7">
        <w:rPr>
          <w:b/>
          <w:bCs/>
          <w:caps/>
          <w:sz w:val="24"/>
          <w:szCs w:val="24"/>
        </w:rPr>
        <w:t>Inordinance BARRIER</w:t>
      </w:r>
      <w:bookmarkEnd w:id="5"/>
      <w:r w:rsidRPr="00404DF7">
        <w:rPr>
          <w:b/>
          <w:bCs/>
          <w:caps/>
          <w:sz w:val="24"/>
          <w:szCs w:val="24"/>
        </w:rPr>
        <w:t>:</w:t>
      </w:r>
    </w:p>
    <w:p w:rsidR="00507E21" w:rsidRPr="00404DF7" w:rsidRDefault="00507E21" w:rsidP="00507E21">
      <w:pPr>
        <w:spacing w:after="0" w:line="240" w:lineRule="auto"/>
        <w:jc w:val="center"/>
        <w:rPr>
          <w:b/>
          <w:bCs/>
          <w:caps/>
          <w:sz w:val="24"/>
          <w:szCs w:val="24"/>
        </w:rPr>
      </w:pPr>
      <w:r w:rsidRPr="00404DF7">
        <w:rPr>
          <w:b/>
          <w:bCs/>
          <w:caps/>
          <w:sz w:val="24"/>
          <w:szCs w:val="24"/>
        </w:rPr>
        <w:t>ANALYSIS AND RECOMMENDATIONS</w:t>
      </w:r>
    </w:p>
    <w:p w:rsidR="00507E21" w:rsidRPr="00404DF7" w:rsidRDefault="00507E21" w:rsidP="00507E21">
      <w:pPr>
        <w:spacing w:after="0" w:line="240" w:lineRule="auto"/>
        <w:rPr>
          <w:b/>
          <w:sz w:val="24"/>
          <w:szCs w:val="24"/>
        </w:rPr>
      </w:pPr>
    </w:p>
    <w:p w:rsidR="00507E21" w:rsidRPr="0069105A" w:rsidRDefault="00507E21" w:rsidP="00507E21">
      <w:pPr>
        <w:spacing w:after="0" w:line="240" w:lineRule="auto"/>
        <w:rPr>
          <w:sz w:val="24"/>
          <w:szCs w:val="24"/>
        </w:rPr>
      </w:pPr>
      <w:bookmarkStart w:id="6" w:name="_8bzyhe3hluqu" w:colFirst="0" w:colLast="0"/>
      <w:bookmarkEnd w:id="6"/>
    </w:p>
    <w:p w:rsidR="00507E21" w:rsidRPr="0069105A" w:rsidRDefault="00507E21" w:rsidP="00507E21">
      <w:pPr>
        <w:pBdr>
          <w:top w:val="nil"/>
          <w:left w:val="nil"/>
          <w:bottom w:val="nil"/>
          <w:right w:val="nil"/>
          <w:between w:val="nil"/>
        </w:pBdr>
        <w:spacing w:after="0" w:line="240" w:lineRule="auto"/>
        <w:rPr>
          <w:sz w:val="24"/>
          <w:szCs w:val="24"/>
        </w:rPr>
      </w:pPr>
      <w:r w:rsidRPr="00404DF7">
        <w:rPr>
          <w:b/>
          <w:bCs/>
          <w:smallCaps/>
          <w:sz w:val="24"/>
          <w:szCs w:val="24"/>
        </w:rPr>
        <w:t>Barrier Summary</w:t>
      </w:r>
      <w:r w:rsidRPr="00404DF7">
        <w:rPr>
          <w:b/>
          <w:bCs/>
          <w:i/>
          <w:iCs/>
          <w:sz w:val="24"/>
          <w:szCs w:val="24"/>
        </w:rPr>
        <w:t>.</w:t>
      </w:r>
      <w:r>
        <w:rPr>
          <w:b/>
          <w:bCs/>
          <w:i/>
          <w:iCs/>
          <w:sz w:val="24"/>
          <w:szCs w:val="24"/>
        </w:rPr>
        <w:t xml:space="preserve"> </w:t>
      </w:r>
      <w:r w:rsidRPr="00404DF7">
        <w:rPr>
          <w:rFonts w:eastAsia="Times New Roman" w:cs="Times New Roman"/>
          <w:sz w:val="24"/>
          <w:szCs w:val="24"/>
        </w:rPr>
        <w:t xml:space="preserve">This barrier occurs when the conditions, requests, or requirements put forward by a state or </w:t>
      </w:r>
      <w:r>
        <w:rPr>
          <w:rFonts w:eastAsia="Times New Roman" w:cs="Times New Roman"/>
          <w:sz w:val="24"/>
          <w:szCs w:val="24"/>
        </w:rPr>
        <w:t>local</w:t>
      </w:r>
      <w:r w:rsidRPr="00404DF7">
        <w:rPr>
          <w:rFonts w:eastAsia="Times New Roman" w:cs="Times New Roman"/>
          <w:sz w:val="24"/>
          <w:szCs w:val="24"/>
        </w:rPr>
        <w:t xml:space="preserve"> entity are unreasonable or overly burdensome</w:t>
      </w:r>
    </w:p>
    <w:p w:rsidR="00507E21" w:rsidRPr="0069105A" w:rsidRDefault="00507E21" w:rsidP="00507E21">
      <w:pPr>
        <w:pBdr>
          <w:top w:val="nil"/>
          <w:left w:val="nil"/>
          <w:bottom w:val="nil"/>
          <w:right w:val="nil"/>
          <w:between w:val="nil"/>
        </w:pBdr>
        <w:spacing w:after="0" w:line="240" w:lineRule="auto"/>
        <w:ind w:left="720"/>
        <w:rPr>
          <w:sz w:val="24"/>
          <w:szCs w:val="24"/>
        </w:rPr>
      </w:pPr>
      <w:bookmarkStart w:id="7" w:name="_wmhdmvwg5ru6" w:colFirst="0" w:colLast="0"/>
      <w:bookmarkEnd w:id="7"/>
    </w:p>
    <w:p w:rsidR="00507E21" w:rsidRPr="0069105A" w:rsidRDefault="00507E21" w:rsidP="00507E21">
      <w:pPr>
        <w:pBdr>
          <w:top w:val="nil"/>
          <w:left w:val="nil"/>
          <w:bottom w:val="nil"/>
          <w:right w:val="nil"/>
          <w:between w:val="nil"/>
        </w:pBdr>
        <w:spacing w:after="0" w:line="240" w:lineRule="auto"/>
        <w:rPr>
          <w:sz w:val="24"/>
          <w:szCs w:val="24"/>
        </w:rPr>
      </w:pPr>
      <w:r w:rsidRPr="0069105A">
        <w:rPr>
          <w:b/>
          <w:bCs/>
          <w:smallCaps/>
          <w:sz w:val="24"/>
          <w:szCs w:val="24"/>
        </w:rPr>
        <w:t>Why This Barrier Arises</w:t>
      </w:r>
      <w:r w:rsidRPr="00B547C3">
        <w:rPr>
          <w:b/>
          <w:bCs/>
          <w:i/>
          <w:iCs/>
          <w:sz w:val="24"/>
          <w:szCs w:val="24"/>
        </w:rPr>
        <w:t>.</w:t>
      </w:r>
      <w:r>
        <w:rPr>
          <w:b/>
          <w:bCs/>
          <w:i/>
          <w:iCs/>
          <w:sz w:val="24"/>
          <w:szCs w:val="24"/>
        </w:rPr>
        <w:t xml:space="preserve"> </w:t>
      </w:r>
      <w:r w:rsidRPr="00404DF7">
        <w:rPr>
          <w:sz w:val="24"/>
          <w:szCs w:val="24"/>
        </w:rPr>
        <w:t xml:space="preserve">The working group has identified that this kind of barrier occurs when a state or </w:t>
      </w:r>
      <w:r>
        <w:rPr>
          <w:sz w:val="24"/>
          <w:szCs w:val="24"/>
        </w:rPr>
        <w:t>local</w:t>
      </w:r>
      <w:r w:rsidRPr="00404DF7">
        <w:rPr>
          <w:sz w:val="24"/>
          <w:szCs w:val="24"/>
        </w:rPr>
        <w:t xml:space="preserve"> authority conditions, requests, or requirements are unfair, inappropriate, unreasonable, or overly burdensome. To highlight the practical applicability of this definition, the working group and some commenters identified a number of practices that are considered “inordinately burdensome.” Some of the practices identified include:</w:t>
      </w:r>
    </w:p>
    <w:p w:rsidR="00507E21" w:rsidRPr="0069105A" w:rsidRDefault="00507E21" w:rsidP="00507E21">
      <w:pPr>
        <w:numPr>
          <w:ilvl w:val="0"/>
          <w:numId w:val="7"/>
        </w:numPr>
        <w:pBdr>
          <w:top w:val="nil"/>
          <w:left w:val="nil"/>
          <w:bottom w:val="nil"/>
          <w:right w:val="nil"/>
          <w:between w:val="nil"/>
        </w:pBdr>
        <w:spacing w:after="0" w:line="240" w:lineRule="auto"/>
        <w:contextualSpacing/>
        <w:rPr>
          <w:sz w:val="24"/>
          <w:szCs w:val="24"/>
        </w:rPr>
      </w:pPr>
      <w:r w:rsidRPr="0069105A">
        <w:rPr>
          <w:sz w:val="24"/>
          <w:szCs w:val="24"/>
        </w:rPr>
        <w:t>Conditions imposed that are unrelated to the project for which they were seeking ROW access;</w:t>
      </w:r>
    </w:p>
    <w:p w:rsidR="00507E21" w:rsidRPr="0069105A" w:rsidRDefault="00507E21" w:rsidP="00507E21">
      <w:pPr>
        <w:numPr>
          <w:ilvl w:val="0"/>
          <w:numId w:val="7"/>
        </w:numPr>
        <w:pBdr>
          <w:top w:val="nil"/>
          <w:left w:val="nil"/>
          <w:bottom w:val="nil"/>
          <w:right w:val="nil"/>
          <w:between w:val="nil"/>
        </w:pBdr>
        <w:spacing w:after="0" w:line="240" w:lineRule="auto"/>
        <w:contextualSpacing/>
        <w:rPr>
          <w:sz w:val="24"/>
          <w:szCs w:val="24"/>
        </w:rPr>
      </w:pPr>
      <w:r w:rsidRPr="0069105A">
        <w:rPr>
          <w:sz w:val="24"/>
          <w:szCs w:val="24"/>
        </w:rPr>
        <w:t>Unrealistic Conditions on size, space, and location, including unrealistic restrictions imposed on the size, amount of space, and location of equipment and facilities;</w:t>
      </w:r>
    </w:p>
    <w:p w:rsidR="00507E21" w:rsidRPr="0069105A" w:rsidRDefault="00507E21" w:rsidP="00507E21">
      <w:pPr>
        <w:numPr>
          <w:ilvl w:val="0"/>
          <w:numId w:val="7"/>
        </w:numPr>
        <w:pBdr>
          <w:top w:val="nil"/>
          <w:left w:val="nil"/>
          <w:bottom w:val="nil"/>
          <w:right w:val="nil"/>
          <w:between w:val="nil"/>
        </w:pBdr>
        <w:spacing w:after="0" w:line="240" w:lineRule="auto"/>
        <w:contextualSpacing/>
        <w:rPr>
          <w:sz w:val="24"/>
          <w:szCs w:val="24"/>
        </w:rPr>
      </w:pPr>
      <w:r w:rsidRPr="0069105A">
        <w:rPr>
          <w:sz w:val="24"/>
          <w:szCs w:val="24"/>
        </w:rPr>
        <w:t>Practices prohibiting upgrades to facilities in ROW, including requiring a full review process even when upgrading existing facilities or making changes that are not substantially different from existing equipment; and</w:t>
      </w:r>
    </w:p>
    <w:p w:rsidR="00507E21" w:rsidRDefault="00507E21" w:rsidP="00507E21">
      <w:pPr>
        <w:numPr>
          <w:ilvl w:val="0"/>
          <w:numId w:val="8"/>
        </w:numPr>
        <w:pBdr>
          <w:top w:val="nil"/>
          <w:left w:val="nil"/>
          <w:bottom w:val="nil"/>
          <w:right w:val="nil"/>
          <w:between w:val="nil"/>
        </w:pBdr>
        <w:spacing w:after="0" w:line="240" w:lineRule="auto"/>
        <w:rPr>
          <w:sz w:val="24"/>
          <w:szCs w:val="24"/>
        </w:rPr>
      </w:pPr>
      <w:r w:rsidRPr="0069105A">
        <w:rPr>
          <w:sz w:val="24"/>
          <w:szCs w:val="24"/>
        </w:rPr>
        <w:t>Requiring all infrastructure to be underground</w:t>
      </w:r>
      <w:r w:rsidRPr="00B547C3">
        <w:rPr>
          <w:sz w:val="24"/>
          <w:szCs w:val="24"/>
        </w:rPr>
        <w:t>, without</w:t>
      </w:r>
      <w:r>
        <w:rPr>
          <w:sz w:val="24"/>
          <w:szCs w:val="24"/>
        </w:rPr>
        <w:t xml:space="preserve"> allowing for</w:t>
      </w:r>
      <w:r w:rsidRPr="00B547C3">
        <w:rPr>
          <w:sz w:val="24"/>
          <w:szCs w:val="24"/>
        </w:rPr>
        <w:t xml:space="preserve"> alternative facilities</w:t>
      </w:r>
      <w:r w:rsidRPr="0069105A">
        <w:rPr>
          <w:sz w:val="24"/>
          <w:szCs w:val="24"/>
        </w:rPr>
        <w:t>.</w:t>
      </w:r>
    </w:p>
    <w:p w:rsidR="00507E21" w:rsidRPr="0069105A" w:rsidRDefault="00507E21" w:rsidP="00507E21">
      <w:pPr>
        <w:pBdr>
          <w:top w:val="nil"/>
          <w:left w:val="nil"/>
          <w:bottom w:val="nil"/>
          <w:right w:val="nil"/>
          <w:between w:val="nil"/>
        </w:pBdr>
        <w:spacing w:after="0" w:line="240" w:lineRule="auto"/>
        <w:ind w:left="720"/>
        <w:rPr>
          <w:sz w:val="24"/>
          <w:szCs w:val="24"/>
        </w:rPr>
      </w:pPr>
    </w:p>
    <w:p w:rsidR="00507E21" w:rsidRPr="0069105A" w:rsidRDefault="00507E21" w:rsidP="00507E21">
      <w:pPr>
        <w:pBdr>
          <w:top w:val="nil"/>
          <w:left w:val="nil"/>
          <w:bottom w:val="nil"/>
          <w:right w:val="nil"/>
          <w:between w:val="nil"/>
        </w:pBdr>
        <w:spacing w:after="0" w:line="240" w:lineRule="auto"/>
        <w:rPr>
          <w:sz w:val="24"/>
          <w:szCs w:val="24"/>
        </w:rPr>
      </w:pPr>
      <w:r w:rsidRPr="00B222AE">
        <w:rPr>
          <w:b/>
          <w:bCs/>
          <w:smallCaps/>
          <w:sz w:val="24"/>
          <w:szCs w:val="24"/>
        </w:rPr>
        <w:t>Recommendations</w:t>
      </w:r>
      <w:r w:rsidRPr="00B222AE">
        <w:rPr>
          <w:b/>
          <w:bCs/>
          <w:i/>
          <w:iCs/>
          <w:sz w:val="24"/>
          <w:szCs w:val="24"/>
        </w:rPr>
        <w:t>.</w:t>
      </w:r>
    </w:p>
    <w:p w:rsidR="00507E21" w:rsidRDefault="00507E21" w:rsidP="00507E21">
      <w:pPr>
        <w:spacing w:after="0" w:line="240" w:lineRule="auto"/>
        <w:rPr>
          <w:sz w:val="24"/>
          <w:szCs w:val="24"/>
        </w:rPr>
      </w:pPr>
      <w:r w:rsidRPr="00B547C3">
        <w:rPr>
          <w:sz w:val="24"/>
          <w:szCs w:val="24"/>
        </w:rPr>
        <w:t xml:space="preserve">The Working Group recognized that preemption should be a last resort and, as such, the FCC should work closely with states and localities to come to amicable solutions wherever possible. As the comments </w:t>
      </w:r>
      <w:r>
        <w:rPr>
          <w:sz w:val="24"/>
          <w:szCs w:val="24"/>
        </w:rPr>
        <w:t xml:space="preserve">filed </w:t>
      </w:r>
      <w:r w:rsidRPr="00B547C3">
        <w:rPr>
          <w:sz w:val="24"/>
          <w:szCs w:val="24"/>
        </w:rPr>
        <w:t>in the docket</w:t>
      </w:r>
      <w:r>
        <w:rPr>
          <w:sz w:val="24"/>
          <w:szCs w:val="24"/>
        </w:rPr>
        <w:t>s</w:t>
      </w:r>
      <w:r w:rsidRPr="00B547C3">
        <w:rPr>
          <w:sz w:val="24"/>
          <w:szCs w:val="24"/>
        </w:rPr>
        <w:t xml:space="preserve"> made clear, certain barriers such as m</w:t>
      </w:r>
      <w:r w:rsidRPr="009F08DA">
        <w:rPr>
          <w:sz w:val="24"/>
          <w:szCs w:val="24"/>
        </w:rPr>
        <w:t xml:space="preserve">oratoria may arise unintentionally due to small cities or </w:t>
      </w:r>
      <w:r>
        <w:rPr>
          <w:sz w:val="24"/>
          <w:szCs w:val="24"/>
        </w:rPr>
        <w:t>localities</w:t>
      </w:r>
      <w:r w:rsidRPr="009F08DA">
        <w:rPr>
          <w:sz w:val="24"/>
          <w:szCs w:val="24"/>
        </w:rPr>
        <w:t xml:space="preserve"> lacking the resources, time, or expertise necessary to conduct prompt and thorough reviews quickly. To this end, we recommend that the FCC investigate the costs and benefits of</w:t>
      </w:r>
      <w:r w:rsidRPr="009776A8">
        <w:rPr>
          <w:sz w:val="24"/>
          <w:szCs w:val="24"/>
        </w:rPr>
        <w:t xml:space="preserve"> developing a process for timely and efficient review of disputes — perhaps resembling arbitration — to assist all parties with working through issues that arise.</w:t>
      </w:r>
      <w:r>
        <w:rPr>
          <w:sz w:val="24"/>
          <w:szCs w:val="24"/>
        </w:rPr>
        <w:t xml:space="preserve"> </w:t>
      </w:r>
    </w:p>
    <w:p w:rsidR="00507E21" w:rsidRPr="00B222AE" w:rsidRDefault="00507E21" w:rsidP="00507E21">
      <w:pPr>
        <w:spacing w:after="0" w:line="240" w:lineRule="auto"/>
        <w:rPr>
          <w:sz w:val="24"/>
          <w:szCs w:val="24"/>
        </w:rPr>
      </w:pPr>
    </w:p>
    <w:p w:rsidR="00507E21" w:rsidRDefault="00507E21" w:rsidP="00507E21">
      <w:pPr>
        <w:spacing w:after="0" w:line="240" w:lineRule="auto"/>
        <w:rPr>
          <w:sz w:val="24"/>
          <w:szCs w:val="24"/>
        </w:rPr>
      </w:pPr>
      <w:r w:rsidRPr="00B222AE">
        <w:rPr>
          <w:sz w:val="24"/>
          <w:szCs w:val="24"/>
        </w:rPr>
        <w:t>For example, we recommend that the FCC:</w:t>
      </w:r>
    </w:p>
    <w:p w:rsidR="00507E21" w:rsidRPr="00B222AE" w:rsidRDefault="00507E21" w:rsidP="00507E21">
      <w:pPr>
        <w:pStyle w:val="ListParagraph"/>
        <w:numPr>
          <w:ilvl w:val="0"/>
          <w:numId w:val="6"/>
        </w:numPr>
        <w:spacing w:after="0" w:line="240" w:lineRule="auto"/>
      </w:pPr>
      <w:r w:rsidRPr="00F654A4">
        <w:rPr>
          <w:sz w:val="24"/>
          <w:szCs w:val="24"/>
        </w:rPr>
        <w:t xml:space="preserve">Engage, along with expert partners, in comprehensive outreach and education efforts to communicate the impacts of inordinate review/approval processes on network deployment, consumers, etc. and find solutions to speed deployment while preserving public safety.  </w:t>
      </w:r>
    </w:p>
    <w:p w:rsidR="00507E21" w:rsidRPr="002332DC" w:rsidRDefault="00507E21" w:rsidP="00507E21">
      <w:pPr>
        <w:numPr>
          <w:ilvl w:val="0"/>
          <w:numId w:val="6"/>
        </w:numPr>
        <w:pBdr>
          <w:top w:val="nil"/>
          <w:left w:val="nil"/>
          <w:bottom w:val="nil"/>
          <w:right w:val="nil"/>
          <w:between w:val="nil"/>
        </w:pBdr>
        <w:spacing w:after="0" w:line="240" w:lineRule="auto"/>
        <w:contextualSpacing/>
        <w:rPr>
          <w:sz w:val="24"/>
          <w:szCs w:val="24"/>
        </w:rPr>
      </w:pPr>
      <w:r w:rsidRPr="0069105A">
        <w:rPr>
          <w:sz w:val="24"/>
          <w:szCs w:val="24"/>
        </w:rPr>
        <w:t xml:space="preserve">Work, either on its own or via the BDAC and with municipal stakeholders, to standardize the application process to the extent possible, recognizing that one size cannot necessarily fit all communities. </w:t>
      </w:r>
      <w:r w:rsidRPr="009F08DA">
        <w:rPr>
          <w:sz w:val="24"/>
          <w:szCs w:val="24"/>
        </w:rPr>
        <w:t xml:space="preserve">  I</w:t>
      </w:r>
      <w:r w:rsidRPr="009776A8">
        <w:rPr>
          <w:sz w:val="24"/>
          <w:szCs w:val="24"/>
        </w:rPr>
        <w:t xml:space="preserve">t should develop standard </w:t>
      </w:r>
      <w:r w:rsidRPr="00B222AE">
        <w:rPr>
          <w:sz w:val="24"/>
          <w:szCs w:val="24"/>
        </w:rPr>
        <w:t>guidelines and materials that can be tailored to the need of local communities and all providers could take advantage of</w:t>
      </w:r>
      <w:r w:rsidRPr="00B10A70">
        <w:rPr>
          <w:sz w:val="24"/>
          <w:szCs w:val="24"/>
        </w:rPr>
        <w:t xml:space="preserve">.  This will be helpful to </w:t>
      </w:r>
      <w:r w:rsidRPr="00253420">
        <w:rPr>
          <w:sz w:val="24"/>
          <w:szCs w:val="24"/>
        </w:rPr>
        <w:t xml:space="preserve">identify </w:t>
      </w:r>
      <w:r w:rsidRPr="00397926">
        <w:rPr>
          <w:sz w:val="24"/>
          <w:szCs w:val="24"/>
        </w:rPr>
        <w:t>the circumstances under which additional materials can be requested and conditions imposed.</w:t>
      </w:r>
    </w:p>
    <w:p w:rsidR="00507E21" w:rsidRPr="00404DF7" w:rsidRDefault="00507E21" w:rsidP="00507E21">
      <w:pPr>
        <w:numPr>
          <w:ilvl w:val="0"/>
          <w:numId w:val="6"/>
        </w:numPr>
        <w:pBdr>
          <w:top w:val="nil"/>
          <w:left w:val="nil"/>
          <w:bottom w:val="nil"/>
          <w:right w:val="nil"/>
          <w:between w:val="nil"/>
        </w:pBdr>
        <w:spacing w:after="0" w:line="240" w:lineRule="auto"/>
        <w:contextualSpacing/>
        <w:rPr>
          <w:sz w:val="24"/>
          <w:szCs w:val="24"/>
        </w:rPr>
      </w:pPr>
      <w:r w:rsidRPr="002332DC">
        <w:rPr>
          <w:sz w:val="24"/>
          <w:szCs w:val="24"/>
        </w:rPr>
        <w:lastRenderedPageBreak/>
        <w:t>Work with localities — perhaps through national organizations like NCSL, NLC, USCM, NATOA, etc. — to reach consensus on floor/ceiling standards vis-à-vis aesthetics and related items. These efforts should include the clear identification of the circumstances under which a locality or state can supplement/change these standards. Carve-outs for historic districts and similarly unique areas should also be considered.</w:t>
      </w:r>
    </w:p>
    <w:p w:rsidR="00507E21" w:rsidRPr="00404DF7" w:rsidRDefault="00507E21" w:rsidP="00507E21">
      <w:pPr>
        <w:numPr>
          <w:ilvl w:val="0"/>
          <w:numId w:val="6"/>
        </w:numPr>
        <w:pBdr>
          <w:top w:val="nil"/>
          <w:left w:val="nil"/>
          <w:bottom w:val="nil"/>
          <w:right w:val="nil"/>
          <w:between w:val="nil"/>
        </w:pBdr>
        <w:spacing w:after="0" w:line="240" w:lineRule="auto"/>
        <w:contextualSpacing/>
        <w:rPr>
          <w:sz w:val="24"/>
          <w:szCs w:val="24"/>
        </w:rPr>
      </w:pPr>
      <w:r w:rsidRPr="00404DF7">
        <w:rPr>
          <w:sz w:val="24"/>
          <w:szCs w:val="24"/>
        </w:rPr>
        <w:t>Develop, either on its own or via the BDAC and with municipal stakeholders, a range of model codes/approaches that are tailored for different circumstances. Rather than one model code, the FCC might consider having model codes/approaches for large urban areas, smaller urban ones, rural towns, etc. Such an approach would ensure that each model code would properly take into account the nuances associated with its relevant geographic area.</w:t>
      </w:r>
    </w:p>
    <w:p w:rsidR="00507E21" w:rsidRPr="00404DF7" w:rsidRDefault="00507E21" w:rsidP="00507E21">
      <w:pPr>
        <w:numPr>
          <w:ilvl w:val="0"/>
          <w:numId w:val="6"/>
        </w:numPr>
        <w:pBdr>
          <w:top w:val="nil"/>
          <w:left w:val="nil"/>
          <w:bottom w:val="nil"/>
          <w:right w:val="nil"/>
          <w:between w:val="nil"/>
        </w:pBdr>
        <w:spacing w:after="0" w:line="240" w:lineRule="auto"/>
        <w:contextualSpacing/>
        <w:rPr>
          <w:sz w:val="24"/>
          <w:szCs w:val="24"/>
        </w:rPr>
      </w:pPr>
      <w:r w:rsidRPr="00404DF7">
        <w:rPr>
          <w:sz w:val="24"/>
          <w:szCs w:val="24"/>
        </w:rPr>
        <w:t xml:space="preserve">Outline best practices for developing streamlined, simplified, and predictable permitting processes to guide states and localities. </w:t>
      </w:r>
    </w:p>
    <w:p w:rsidR="00507E21" w:rsidRPr="00404DF7" w:rsidRDefault="00507E21" w:rsidP="00507E21">
      <w:pPr>
        <w:numPr>
          <w:ilvl w:val="0"/>
          <w:numId w:val="6"/>
        </w:numPr>
        <w:pBdr>
          <w:top w:val="nil"/>
          <w:left w:val="nil"/>
          <w:bottom w:val="nil"/>
          <w:right w:val="nil"/>
          <w:between w:val="nil"/>
        </w:pBdr>
        <w:spacing w:after="0" w:line="240" w:lineRule="auto"/>
        <w:contextualSpacing/>
        <w:rPr>
          <w:sz w:val="24"/>
          <w:szCs w:val="24"/>
        </w:rPr>
      </w:pPr>
      <w:r w:rsidRPr="00404DF7">
        <w:rPr>
          <w:sz w:val="24"/>
          <w:szCs w:val="24"/>
        </w:rPr>
        <w:t>Develop more clarity of “character of the neighborhood” or “aesthetics” between cities and providers. Such a discussion should occur prior to permitting in order to establish clear and transparent expectations and options on both sides up front.</w:t>
      </w:r>
    </w:p>
    <w:p w:rsidR="00507E21" w:rsidRPr="00404DF7" w:rsidRDefault="00507E21" w:rsidP="00507E21">
      <w:pPr>
        <w:numPr>
          <w:ilvl w:val="0"/>
          <w:numId w:val="6"/>
        </w:numPr>
        <w:pBdr>
          <w:top w:val="nil"/>
          <w:left w:val="nil"/>
          <w:bottom w:val="nil"/>
          <w:right w:val="nil"/>
          <w:between w:val="nil"/>
        </w:pBdr>
        <w:spacing w:after="0" w:line="240" w:lineRule="auto"/>
        <w:contextualSpacing/>
        <w:rPr>
          <w:sz w:val="24"/>
          <w:szCs w:val="24"/>
        </w:rPr>
      </w:pPr>
      <w:r>
        <w:rPr>
          <w:sz w:val="24"/>
          <w:szCs w:val="24"/>
        </w:rPr>
        <w:t>Urge b</w:t>
      </w:r>
      <w:r w:rsidRPr="00404DF7">
        <w:rPr>
          <w:sz w:val="24"/>
          <w:szCs w:val="24"/>
        </w:rPr>
        <w:t>atch permitting for small cell antenna on structures in the ROW. Installations</w:t>
      </w:r>
      <w:r>
        <w:rPr>
          <w:sz w:val="24"/>
          <w:szCs w:val="24"/>
        </w:rPr>
        <w:t xml:space="preserve"> within the batch</w:t>
      </w:r>
      <w:r w:rsidRPr="00404DF7">
        <w:rPr>
          <w:sz w:val="24"/>
          <w:szCs w:val="24"/>
        </w:rPr>
        <w:t xml:space="preserve"> should be on the same kind of structure in areas with similar characteristics.  </w:t>
      </w:r>
      <w:r>
        <w:rPr>
          <w:sz w:val="24"/>
          <w:szCs w:val="24"/>
        </w:rPr>
        <w:t>Localities</w:t>
      </w:r>
      <w:r w:rsidRPr="00404DF7">
        <w:rPr>
          <w:sz w:val="24"/>
          <w:szCs w:val="24"/>
        </w:rPr>
        <w:t xml:space="preserve"> should have the ability to pull troublesome installations that might be caused by a number of things including ROW uses that are more complicated out of the batch, thus allowing the rest of the conforming batch to proceed forward.</w:t>
      </w:r>
    </w:p>
    <w:p w:rsidR="00507E21" w:rsidRPr="00404DF7" w:rsidRDefault="00507E21" w:rsidP="00507E21">
      <w:pPr>
        <w:numPr>
          <w:ilvl w:val="0"/>
          <w:numId w:val="6"/>
        </w:numPr>
        <w:pBdr>
          <w:top w:val="nil"/>
          <w:left w:val="nil"/>
          <w:bottom w:val="nil"/>
          <w:right w:val="nil"/>
          <w:between w:val="nil"/>
        </w:pBdr>
        <w:spacing w:after="0" w:line="240" w:lineRule="auto"/>
        <w:rPr>
          <w:sz w:val="24"/>
          <w:szCs w:val="24"/>
        </w:rPr>
      </w:pPr>
      <w:r w:rsidRPr="00404DF7">
        <w:rPr>
          <w:sz w:val="24"/>
          <w:szCs w:val="24"/>
        </w:rPr>
        <w:t>Encourage cities to create more predictability in the permitting and install processes by developing zones as a layer in their comprehensive plans that predefine types of installations allowed, character of the neighborhood, compensation for use of the ROW</w:t>
      </w:r>
      <w:r>
        <w:rPr>
          <w:sz w:val="24"/>
          <w:szCs w:val="24"/>
        </w:rPr>
        <w:t xml:space="preserve"> and local assets</w:t>
      </w:r>
      <w:r w:rsidRPr="00404DF7">
        <w:rPr>
          <w:sz w:val="24"/>
          <w:szCs w:val="24"/>
        </w:rPr>
        <w:t>, types of existing and available structures and guidance for new construction. These zones should remove barriers and increase predictability for providers to build out broadband networks. The zones could also potentially allow the city to incentivize deployment in areas that are underserved.</w:t>
      </w:r>
    </w:p>
    <w:p w:rsidR="00507E21" w:rsidRPr="00404DF7" w:rsidRDefault="00507E21" w:rsidP="00507E21">
      <w:pPr>
        <w:spacing w:after="0" w:line="240" w:lineRule="auto"/>
        <w:rPr>
          <w:sz w:val="24"/>
          <w:szCs w:val="24"/>
        </w:rPr>
      </w:pPr>
    </w:p>
    <w:p w:rsidR="00507E21" w:rsidRPr="00404DF7" w:rsidRDefault="00507E21" w:rsidP="00507E21">
      <w:pPr>
        <w:spacing w:after="0" w:line="240" w:lineRule="auto"/>
        <w:rPr>
          <w:sz w:val="24"/>
          <w:szCs w:val="24"/>
        </w:rPr>
      </w:pPr>
    </w:p>
    <w:p w:rsidR="00507E21" w:rsidRPr="00404DF7" w:rsidRDefault="00507E21" w:rsidP="00507E21">
      <w:pPr>
        <w:spacing w:after="0" w:line="240" w:lineRule="auto"/>
        <w:rPr>
          <w:sz w:val="24"/>
          <w:szCs w:val="24"/>
        </w:rPr>
      </w:pPr>
    </w:p>
    <w:p w:rsidR="00507E21" w:rsidRPr="00404DF7" w:rsidRDefault="00507E21" w:rsidP="00507E21">
      <w:pPr>
        <w:pBdr>
          <w:top w:val="nil"/>
          <w:left w:val="nil"/>
          <w:bottom w:val="nil"/>
          <w:right w:val="nil"/>
          <w:between w:val="nil"/>
        </w:pBdr>
        <w:spacing w:after="0" w:line="240" w:lineRule="auto"/>
        <w:ind w:left="720"/>
        <w:contextualSpacing/>
        <w:rPr>
          <w:sz w:val="24"/>
          <w:szCs w:val="24"/>
        </w:rPr>
      </w:pPr>
    </w:p>
    <w:p w:rsidR="00507E21" w:rsidRPr="00404DF7" w:rsidRDefault="00507E21" w:rsidP="005F251A">
      <w:pPr>
        <w:spacing w:after="0" w:line="240" w:lineRule="auto"/>
        <w:jc w:val="center"/>
        <w:rPr>
          <w:b/>
          <w:bCs/>
          <w:caps/>
          <w:sz w:val="24"/>
          <w:szCs w:val="24"/>
        </w:rPr>
      </w:pPr>
      <w:bookmarkStart w:id="8" w:name="_tuybatq9pblo" w:colFirst="0" w:colLast="0"/>
      <w:bookmarkEnd w:id="8"/>
      <w:r w:rsidRPr="00404DF7">
        <w:rPr>
          <w:b/>
          <w:sz w:val="24"/>
          <w:szCs w:val="24"/>
        </w:rPr>
        <w:br w:type="page"/>
      </w:r>
      <w:r w:rsidRPr="00404DF7">
        <w:rPr>
          <w:b/>
          <w:bCs/>
          <w:caps/>
          <w:sz w:val="24"/>
          <w:szCs w:val="24"/>
        </w:rPr>
        <w:lastRenderedPageBreak/>
        <w:t>Appendix F</w:t>
      </w:r>
    </w:p>
    <w:p w:rsidR="00507E21" w:rsidRPr="00404DF7" w:rsidRDefault="00507E21" w:rsidP="00507E21">
      <w:pPr>
        <w:spacing w:after="0" w:line="240" w:lineRule="auto"/>
        <w:jc w:val="center"/>
        <w:rPr>
          <w:b/>
          <w:caps/>
          <w:sz w:val="24"/>
          <w:szCs w:val="24"/>
        </w:rPr>
      </w:pPr>
    </w:p>
    <w:p w:rsidR="00507E21" w:rsidRPr="00404DF7" w:rsidRDefault="00507E21" w:rsidP="00507E21">
      <w:pPr>
        <w:spacing w:after="0" w:line="240" w:lineRule="auto"/>
        <w:jc w:val="center"/>
        <w:rPr>
          <w:b/>
          <w:bCs/>
          <w:caps/>
          <w:sz w:val="24"/>
          <w:szCs w:val="24"/>
        </w:rPr>
      </w:pPr>
      <w:bookmarkStart w:id="9" w:name="f"/>
      <w:r w:rsidRPr="00404DF7">
        <w:rPr>
          <w:b/>
          <w:bCs/>
          <w:caps/>
          <w:sz w:val="24"/>
          <w:szCs w:val="24"/>
        </w:rPr>
        <w:t>NonCompliance BARRIER</w:t>
      </w:r>
      <w:bookmarkEnd w:id="9"/>
      <w:r w:rsidRPr="00404DF7">
        <w:rPr>
          <w:b/>
          <w:bCs/>
          <w:caps/>
          <w:sz w:val="24"/>
          <w:szCs w:val="24"/>
        </w:rPr>
        <w:t>:</w:t>
      </w:r>
    </w:p>
    <w:p w:rsidR="00507E21" w:rsidRPr="00404DF7" w:rsidRDefault="00507E21" w:rsidP="00507E21">
      <w:pPr>
        <w:spacing w:after="0" w:line="240" w:lineRule="auto"/>
        <w:jc w:val="center"/>
        <w:rPr>
          <w:b/>
          <w:bCs/>
          <w:caps/>
          <w:sz w:val="24"/>
          <w:szCs w:val="24"/>
        </w:rPr>
      </w:pPr>
      <w:r w:rsidRPr="00404DF7">
        <w:rPr>
          <w:b/>
          <w:bCs/>
          <w:caps/>
          <w:sz w:val="24"/>
          <w:szCs w:val="24"/>
        </w:rPr>
        <w:t>ANALYSIS AND RECOMMENDATIONS</w:t>
      </w:r>
    </w:p>
    <w:p w:rsidR="00507E21" w:rsidRPr="00404DF7" w:rsidRDefault="00507E21" w:rsidP="00507E21">
      <w:pPr>
        <w:spacing w:after="0" w:line="240" w:lineRule="auto"/>
        <w:rPr>
          <w:b/>
          <w:sz w:val="24"/>
          <w:szCs w:val="24"/>
        </w:rPr>
      </w:pPr>
    </w:p>
    <w:p w:rsidR="00507E21" w:rsidRPr="00404DF7" w:rsidRDefault="00507E21" w:rsidP="00507E21">
      <w:pPr>
        <w:spacing w:after="0" w:line="240" w:lineRule="auto"/>
        <w:rPr>
          <w:b/>
          <w:sz w:val="24"/>
          <w:szCs w:val="24"/>
        </w:rPr>
      </w:pPr>
    </w:p>
    <w:p w:rsidR="00507E21" w:rsidRDefault="00507E21" w:rsidP="00507E21">
      <w:pPr>
        <w:spacing w:after="0" w:line="240" w:lineRule="auto"/>
        <w:rPr>
          <w:b/>
          <w:bCs/>
          <w:i/>
          <w:iCs/>
          <w:sz w:val="24"/>
          <w:szCs w:val="24"/>
        </w:rPr>
      </w:pPr>
      <w:r w:rsidRPr="00404DF7">
        <w:rPr>
          <w:b/>
          <w:bCs/>
          <w:smallCaps/>
          <w:sz w:val="24"/>
          <w:szCs w:val="24"/>
        </w:rPr>
        <w:t>Barrier Summary</w:t>
      </w:r>
      <w:r w:rsidRPr="00404DF7">
        <w:rPr>
          <w:b/>
          <w:bCs/>
          <w:i/>
          <w:iCs/>
          <w:sz w:val="24"/>
          <w:szCs w:val="24"/>
        </w:rPr>
        <w:t xml:space="preserve">. </w:t>
      </w:r>
      <w:r w:rsidRPr="00EC7ECE">
        <w:rPr>
          <w:bCs/>
          <w:iCs/>
          <w:sz w:val="24"/>
          <w:szCs w:val="24"/>
        </w:rPr>
        <w:t>This barrier</w:t>
      </w:r>
      <w:r w:rsidRPr="00404DF7">
        <w:rPr>
          <w:sz w:val="24"/>
          <w:szCs w:val="24"/>
        </w:rPr>
        <w:t xml:space="preserve"> occurs when a state or </w:t>
      </w:r>
      <w:r>
        <w:rPr>
          <w:sz w:val="24"/>
          <w:szCs w:val="24"/>
        </w:rPr>
        <w:t>local</w:t>
      </w:r>
      <w:r w:rsidRPr="00404DF7">
        <w:rPr>
          <w:sz w:val="24"/>
          <w:szCs w:val="24"/>
        </w:rPr>
        <w:t xml:space="preserve"> authority or applicant fails to enforce or comply with </w:t>
      </w:r>
      <w:r>
        <w:rPr>
          <w:sz w:val="24"/>
          <w:szCs w:val="24"/>
        </w:rPr>
        <w:t>its</w:t>
      </w:r>
      <w:r w:rsidRPr="00404DF7">
        <w:rPr>
          <w:sz w:val="24"/>
          <w:szCs w:val="24"/>
        </w:rPr>
        <w:t xml:space="preserve"> established rules or procedures</w:t>
      </w:r>
    </w:p>
    <w:p w:rsidR="00507E21" w:rsidRDefault="00507E21" w:rsidP="00507E21">
      <w:pPr>
        <w:spacing w:after="0" w:line="240" w:lineRule="auto"/>
        <w:rPr>
          <w:b/>
          <w:bCs/>
          <w:i/>
          <w:iCs/>
          <w:sz w:val="24"/>
          <w:szCs w:val="24"/>
        </w:rPr>
      </w:pPr>
    </w:p>
    <w:p w:rsidR="00507E21" w:rsidRPr="00B547C3" w:rsidRDefault="00507E21" w:rsidP="00507E21">
      <w:pPr>
        <w:spacing w:after="0" w:line="240" w:lineRule="auto"/>
        <w:rPr>
          <w:sz w:val="24"/>
          <w:szCs w:val="24"/>
        </w:rPr>
      </w:pPr>
      <w:r w:rsidRPr="0069105A">
        <w:rPr>
          <w:b/>
          <w:bCs/>
          <w:smallCaps/>
          <w:sz w:val="24"/>
          <w:szCs w:val="24"/>
        </w:rPr>
        <w:t>Why This Barrier Arises</w:t>
      </w:r>
      <w:r w:rsidRPr="0069105A">
        <w:rPr>
          <w:b/>
          <w:bCs/>
          <w:i/>
          <w:iCs/>
          <w:sz w:val="24"/>
          <w:szCs w:val="24"/>
        </w:rPr>
        <w:t xml:space="preserve">. </w:t>
      </w:r>
      <w:r w:rsidRPr="00B547C3">
        <w:rPr>
          <w:sz w:val="24"/>
          <w:szCs w:val="24"/>
        </w:rPr>
        <w:t xml:space="preserve">There are typically two driving factors behind why instances of noncompliance might arise: </w:t>
      </w:r>
    </w:p>
    <w:p w:rsidR="00507E21" w:rsidRPr="009776A8" w:rsidRDefault="00507E21" w:rsidP="00507E21">
      <w:pPr>
        <w:pStyle w:val="ListParagraph"/>
        <w:numPr>
          <w:ilvl w:val="0"/>
          <w:numId w:val="17"/>
        </w:numPr>
        <w:spacing w:after="0" w:line="240" w:lineRule="auto"/>
        <w:rPr>
          <w:b/>
          <w:i/>
          <w:sz w:val="24"/>
          <w:szCs w:val="24"/>
        </w:rPr>
      </w:pPr>
      <w:r w:rsidRPr="00B547C3">
        <w:rPr>
          <w:i/>
          <w:iCs/>
          <w:sz w:val="24"/>
          <w:szCs w:val="24"/>
        </w:rPr>
        <w:t>Unintentional</w:t>
      </w:r>
      <w:r w:rsidRPr="00B547C3">
        <w:rPr>
          <w:sz w:val="24"/>
          <w:szCs w:val="24"/>
        </w:rPr>
        <w:t xml:space="preserve">. Incidental or unavoidable noncompliance barriers can occur when state or local authorities lack sufficient resources to meet </w:t>
      </w:r>
      <w:r>
        <w:rPr>
          <w:sz w:val="24"/>
          <w:szCs w:val="24"/>
        </w:rPr>
        <w:t>its</w:t>
      </w:r>
      <w:r w:rsidRPr="00B547C3">
        <w:rPr>
          <w:sz w:val="24"/>
          <w:szCs w:val="24"/>
        </w:rPr>
        <w:t xml:space="preserve"> obligations or do not have an existing code in place by which to make decisions. </w:t>
      </w:r>
      <w:r w:rsidRPr="009F08DA">
        <w:rPr>
          <w:sz w:val="24"/>
          <w:szCs w:val="24"/>
        </w:rPr>
        <w:t xml:space="preserve">Noncompliance can also occur when applicants inadvertently submit incorrect </w:t>
      </w:r>
      <w:r w:rsidRPr="009776A8">
        <w:rPr>
          <w:sz w:val="24"/>
          <w:szCs w:val="24"/>
        </w:rPr>
        <w:t>or incomplete applications.</w:t>
      </w:r>
    </w:p>
    <w:p w:rsidR="00507E21" w:rsidRPr="00253420" w:rsidRDefault="00507E21" w:rsidP="00507E21">
      <w:pPr>
        <w:pStyle w:val="ListParagraph"/>
        <w:numPr>
          <w:ilvl w:val="0"/>
          <w:numId w:val="17"/>
        </w:numPr>
        <w:spacing w:after="0" w:line="240" w:lineRule="auto"/>
        <w:rPr>
          <w:b/>
          <w:bCs/>
          <w:i/>
          <w:iCs/>
          <w:sz w:val="24"/>
          <w:szCs w:val="24"/>
        </w:rPr>
      </w:pPr>
      <w:r w:rsidRPr="009776A8">
        <w:rPr>
          <w:i/>
          <w:iCs/>
          <w:sz w:val="24"/>
          <w:szCs w:val="24"/>
        </w:rPr>
        <w:t>Intentional</w:t>
      </w:r>
      <w:r w:rsidRPr="00B222AE">
        <w:rPr>
          <w:sz w:val="24"/>
          <w:szCs w:val="24"/>
        </w:rPr>
        <w:t xml:space="preserve">. Willful noncompliance barriers can occur when state or local authorities resist or ignore shot clock obligations, lack the desire or ability to allow for nuanced or tiered treatment of applicants, or attempt to use their authority to extract unwarranted value from applicants or prioritize their own </w:t>
      </w:r>
      <w:r w:rsidRPr="00B10A70">
        <w:rPr>
          <w:sz w:val="24"/>
          <w:szCs w:val="24"/>
        </w:rPr>
        <w:t>competing interests</w:t>
      </w:r>
      <w:r w:rsidRPr="00253420">
        <w:rPr>
          <w:sz w:val="24"/>
          <w:szCs w:val="24"/>
        </w:rPr>
        <w:t>. Willful noncompliance can also occur when applicants submit bad-faith applications or install facilities prior to obtaining a permit.</w:t>
      </w:r>
    </w:p>
    <w:p w:rsidR="00507E21" w:rsidRPr="00253420" w:rsidRDefault="00507E21" w:rsidP="00507E21">
      <w:pPr>
        <w:spacing w:after="0" w:line="240" w:lineRule="auto"/>
        <w:rPr>
          <w:sz w:val="24"/>
          <w:szCs w:val="24"/>
        </w:rPr>
      </w:pPr>
    </w:p>
    <w:p w:rsidR="00507E21" w:rsidRPr="00397926" w:rsidRDefault="00507E21" w:rsidP="00507E21">
      <w:pPr>
        <w:spacing w:after="0" w:line="240" w:lineRule="auto"/>
        <w:rPr>
          <w:sz w:val="24"/>
          <w:szCs w:val="24"/>
        </w:rPr>
      </w:pPr>
      <w:r w:rsidRPr="00253420">
        <w:rPr>
          <w:b/>
          <w:bCs/>
          <w:smallCaps/>
          <w:sz w:val="24"/>
          <w:szCs w:val="24"/>
        </w:rPr>
        <w:t>Recommendations</w:t>
      </w:r>
      <w:r w:rsidRPr="00397926">
        <w:rPr>
          <w:b/>
          <w:bCs/>
          <w:i/>
          <w:iCs/>
          <w:sz w:val="24"/>
          <w:szCs w:val="24"/>
        </w:rPr>
        <w:t xml:space="preserve">. </w:t>
      </w:r>
    </w:p>
    <w:p w:rsidR="00507E21" w:rsidRPr="005315DD" w:rsidRDefault="00507E21" w:rsidP="00507E21">
      <w:pPr>
        <w:pStyle w:val="ListParagraph"/>
        <w:numPr>
          <w:ilvl w:val="0"/>
          <w:numId w:val="28"/>
        </w:numPr>
        <w:spacing w:after="0" w:line="240" w:lineRule="auto"/>
        <w:rPr>
          <w:sz w:val="24"/>
          <w:szCs w:val="24"/>
        </w:rPr>
      </w:pPr>
      <w:r w:rsidRPr="00C329B7">
        <w:rPr>
          <w:b/>
          <w:i/>
          <w:sz w:val="24"/>
        </w:rPr>
        <w:t>Education &amp; Training</w:t>
      </w:r>
      <w:r w:rsidRPr="00C329B7">
        <w:rPr>
          <w:b/>
          <w:sz w:val="24"/>
          <w:szCs w:val="24"/>
        </w:rPr>
        <w:t>.</w:t>
      </w:r>
      <w:r w:rsidRPr="005315DD">
        <w:rPr>
          <w:sz w:val="24"/>
          <w:szCs w:val="24"/>
        </w:rPr>
        <w:t xml:space="preserve"> In order to head off noncompliance before it occurs, state and local authorities should be educated on newer technologies and their components (e.g. generalized background on small cell or fixed wireless technologies). This fosters a stronger understanding of the needs of various network providers, informs the decision-making process, and promotes opportunities for collaboration among all stakeholders.</w:t>
      </w:r>
    </w:p>
    <w:p w:rsidR="00507E21" w:rsidRPr="005315DD" w:rsidRDefault="00507E21" w:rsidP="00507E21">
      <w:pPr>
        <w:pStyle w:val="ListParagraph"/>
        <w:numPr>
          <w:ilvl w:val="0"/>
          <w:numId w:val="28"/>
        </w:numPr>
        <w:spacing w:after="0" w:line="240" w:lineRule="auto"/>
        <w:rPr>
          <w:sz w:val="24"/>
          <w:szCs w:val="24"/>
        </w:rPr>
      </w:pPr>
      <w:r w:rsidRPr="00C329B7">
        <w:rPr>
          <w:b/>
          <w:i/>
          <w:sz w:val="24"/>
        </w:rPr>
        <w:t>Collaboration &amp; Guidance Tools</w:t>
      </w:r>
      <w:r w:rsidRPr="00C329B7">
        <w:rPr>
          <w:b/>
          <w:sz w:val="24"/>
          <w:szCs w:val="24"/>
        </w:rPr>
        <w:t>.</w:t>
      </w:r>
      <w:r w:rsidRPr="005315DD">
        <w:rPr>
          <w:sz w:val="24"/>
          <w:szCs w:val="24"/>
        </w:rPr>
        <w:t xml:space="preserve"> Key industry, government, and trade or other collective interest representatives (e.g., alongside organizations like the National League of Cities) should work collaboratively to develop solutions to noncompliance challenges. </w:t>
      </w:r>
    </w:p>
    <w:p w:rsidR="00507E21" w:rsidRDefault="00507E21" w:rsidP="00507E21">
      <w:pPr>
        <w:pStyle w:val="ListParagraph"/>
        <w:numPr>
          <w:ilvl w:val="1"/>
          <w:numId w:val="28"/>
        </w:numPr>
        <w:spacing w:after="0" w:line="240" w:lineRule="auto"/>
        <w:rPr>
          <w:sz w:val="24"/>
          <w:szCs w:val="24"/>
        </w:rPr>
      </w:pPr>
      <w:r w:rsidRPr="005315DD">
        <w:rPr>
          <w:sz w:val="24"/>
          <w:szCs w:val="24"/>
        </w:rPr>
        <w:t>The development of a clear application, along with clear guidance materials that accompany the application, could promote mutual understanding among government and industry stakeholders and avoid and repair adversarial interactions.</w:t>
      </w:r>
    </w:p>
    <w:p w:rsidR="00507E21" w:rsidRPr="005315DD" w:rsidRDefault="00507E21" w:rsidP="00507E21">
      <w:pPr>
        <w:pStyle w:val="ListParagraph"/>
        <w:numPr>
          <w:ilvl w:val="1"/>
          <w:numId w:val="28"/>
        </w:numPr>
        <w:spacing w:after="0" w:line="240" w:lineRule="auto"/>
        <w:rPr>
          <w:sz w:val="24"/>
          <w:szCs w:val="24"/>
        </w:rPr>
      </w:pPr>
      <w:r>
        <w:rPr>
          <w:sz w:val="24"/>
          <w:szCs w:val="24"/>
        </w:rPr>
        <w:t>Examples of related best practices: The states of Georgia and Michigan provide clear directives/guidance to localities with the METRO Act.</w:t>
      </w:r>
    </w:p>
    <w:p w:rsidR="00507E21" w:rsidRPr="005315DD" w:rsidRDefault="00507E21" w:rsidP="00507E21">
      <w:pPr>
        <w:pStyle w:val="ListParagraph"/>
        <w:numPr>
          <w:ilvl w:val="0"/>
          <w:numId w:val="28"/>
        </w:numPr>
        <w:spacing w:after="0" w:line="240" w:lineRule="auto"/>
        <w:rPr>
          <w:sz w:val="24"/>
          <w:szCs w:val="24"/>
        </w:rPr>
      </w:pPr>
      <w:r w:rsidRPr="00C329B7">
        <w:rPr>
          <w:b/>
          <w:i/>
          <w:sz w:val="24"/>
        </w:rPr>
        <w:t>State Default Agreement</w:t>
      </w:r>
      <w:r w:rsidRPr="00C329B7">
        <w:rPr>
          <w:b/>
          <w:i/>
          <w:iCs/>
          <w:sz w:val="24"/>
          <w:szCs w:val="24"/>
        </w:rPr>
        <w:t>.</w:t>
      </w:r>
      <w:r w:rsidRPr="005315DD">
        <w:rPr>
          <w:sz w:val="24"/>
          <w:szCs w:val="24"/>
        </w:rPr>
        <w:t xml:space="preserve"> This mandate would </w:t>
      </w:r>
      <w:r>
        <w:rPr>
          <w:sz w:val="24"/>
          <w:szCs w:val="24"/>
        </w:rPr>
        <w:t>provide</w:t>
      </w:r>
      <w:r w:rsidRPr="005315DD">
        <w:rPr>
          <w:sz w:val="24"/>
          <w:szCs w:val="24"/>
        </w:rPr>
        <w:t xml:space="preserve"> parties</w:t>
      </w:r>
      <w:r>
        <w:rPr>
          <w:sz w:val="24"/>
          <w:szCs w:val="24"/>
        </w:rPr>
        <w:t xml:space="preserve"> with the option</w:t>
      </w:r>
      <w:r w:rsidRPr="005315DD">
        <w:rPr>
          <w:sz w:val="24"/>
          <w:szCs w:val="24"/>
        </w:rPr>
        <w:t xml:space="preserve"> to resort to a “default agreement” in instances where they cannot reach a mutually satisfactory agreement within a reasonable amount of time, or where </w:t>
      </w:r>
      <w:r>
        <w:rPr>
          <w:sz w:val="24"/>
          <w:szCs w:val="24"/>
        </w:rPr>
        <w:t>localities</w:t>
      </w:r>
      <w:r w:rsidRPr="005315DD">
        <w:rPr>
          <w:sz w:val="24"/>
          <w:szCs w:val="24"/>
        </w:rPr>
        <w:t xml:space="preserve"> lack sufficient resources to adhere to their shot clocks or other obligations.</w:t>
      </w:r>
    </w:p>
    <w:p w:rsidR="00507E21" w:rsidRPr="005315DD" w:rsidRDefault="00507E21" w:rsidP="00507E21">
      <w:pPr>
        <w:pStyle w:val="ListParagraph"/>
        <w:numPr>
          <w:ilvl w:val="1"/>
          <w:numId w:val="28"/>
        </w:numPr>
        <w:spacing w:after="0" w:line="240" w:lineRule="auto"/>
        <w:rPr>
          <w:sz w:val="24"/>
          <w:szCs w:val="24"/>
        </w:rPr>
      </w:pPr>
      <w:r w:rsidRPr="005315DD">
        <w:rPr>
          <w:sz w:val="24"/>
          <w:szCs w:val="24"/>
        </w:rPr>
        <w:t xml:space="preserve">The default agreement must be a flexible mandate that allows for something other than a one-size-fits-all solution. The agreement must comply with state </w:t>
      </w:r>
      <w:r w:rsidRPr="005315DD">
        <w:rPr>
          <w:sz w:val="24"/>
          <w:szCs w:val="24"/>
        </w:rPr>
        <w:lastRenderedPageBreak/>
        <w:t>constitutions and other laws. It must go into effect automatically if the parties cannot successfully negotiate other terms.</w:t>
      </w:r>
    </w:p>
    <w:p w:rsidR="00507E21" w:rsidRPr="005315DD" w:rsidRDefault="00507E21" w:rsidP="00507E21">
      <w:pPr>
        <w:pStyle w:val="ListParagraph"/>
        <w:numPr>
          <w:ilvl w:val="1"/>
          <w:numId w:val="28"/>
        </w:numPr>
        <w:spacing w:after="0" w:line="240" w:lineRule="auto"/>
        <w:rPr>
          <w:sz w:val="24"/>
          <w:szCs w:val="24"/>
        </w:rPr>
      </w:pPr>
      <w:r w:rsidRPr="005315DD">
        <w:rPr>
          <w:sz w:val="24"/>
          <w:szCs w:val="24"/>
        </w:rPr>
        <w:t>"Other terms" would include things like an extension of the shot clock requirements or a fee reduction in exchange for additional review time, not just a "final" agreement.</w:t>
      </w:r>
    </w:p>
    <w:p w:rsidR="00507E21" w:rsidRPr="005315DD" w:rsidRDefault="00507E21" w:rsidP="00507E21">
      <w:pPr>
        <w:pStyle w:val="ListParagraph"/>
        <w:numPr>
          <w:ilvl w:val="1"/>
          <w:numId w:val="28"/>
        </w:numPr>
        <w:spacing w:after="0" w:line="240" w:lineRule="auto"/>
        <w:rPr>
          <w:sz w:val="24"/>
          <w:szCs w:val="24"/>
        </w:rPr>
      </w:pPr>
      <w:r w:rsidRPr="005315DD">
        <w:rPr>
          <w:sz w:val="24"/>
          <w:szCs w:val="24"/>
        </w:rPr>
        <w:t>The state mandatory default agreement should be developed collaboratively with the input of all relevant stakeholder types to ensure fairness and respect for the process. Furthermore, this practice will incentivize adherence to the agreements, because the alternative may be preemption or a federal code.</w:t>
      </w:r>
    </w:p>
    <w:p w:rsidR="00507E21" w:rsidRPr="005315DD" w:rsidRDefault="00507E21" w:rsidP="00507E21">
      <w:pPr>
        <w:pStyle w:val="ListParagraph"/>
        <w:numPr>
          <w:ilvl w:val="0"/>
          <w:numId w:val="28"/>
        </w:numPr>
        <w:spacing w:after="0" w:line="240" w:lineRule="auto"/>
        <w:rPr>
          <w:sz w:val="24"/>
          <w:szCs w:val="24"/>
        </w:rPr>
      </w:pPr>
      <w:r w:rsidRPr="00C329B7">
        <w:rPr>
          <w:b/>
          <w:i/>
          <w:iCs/>
          <w:sz w:val="24"/>
          <w:szCs w:val="24"/>
        </w:rPr>
        <w:t>"</w:t>
      </w:r>
      <w:r w:rsidRPr="00C329B7">
        <w:rPr>
          <w:b/>
          <w:i/>
          <w:sz w:val="24"/>
        </w:rPr>
        <w:t xml:space="preserve">Interconnection </w:t>
      </w:r>
      <w:r w:rsidRPr="00C329B7">
        <w:rPr>
          <w:b/>
          <w:iCs/>
          <w:sz w:val="24"/>
          <w:szCs w:val="24"/>
        </w:rPr>
        <w:t>C</w:t>
      </w:r>
      <w:r w:rsidRPr="00C329B7">
        <w:rPr>
          <w:b/>
          <w:i/>
          <w:sz w:val="24"/>
        </w:rPr>
        <w:t>ontract."</w:t>
      </w:r>
      <w:r w:rsidRPr="005315DD">
        <w:rPr>
          <w:sz w:val="24"/>
          <w:szCs w:val="24"/>
        </w:rPr>
        <w:t xml:space="preserve"> Providers can negotiate a deal with one county or municipality and another county or municipality can request the same deal with the provider if they “opt-in” to be part of the network. Conversely, providers can request the same deal other providers previously negotiated with counties or </w:t>
      </w:r>
      <w:r>
        <w:rPr>
          <w:sz w:val="24"/>
          <w:szCs w:val="24"/>
        </w:rPr>
        <w:t>localities</w:t>
      </w:r>
      <w:r w:rsidRPr="005315DD">
        <w:rPr>
          <w:sz w:val="24"/>
          <w:szCs w:val="24"/>
        </w:rPr>
        <w:t>. However, it should not be mandatory for the government entity or the provider to accept such a request.</w:t>
      </w:r>
      <w:r w:rsidRPr="005315DD">
        <w:rPr>
          <w:rStyle w:val="CommentReference"/>
          <w:rFonts w:cs="Times New Roman"/>
          <w:color w:val="333333"/>
          <w:sz w:val="24"/>
          <w:szCs w:val="24"/>
        </w:rPr>
        <w:t xml:space="preserve"> </w:t>
      </w:r>
      <w:r w:rsidRPr="005315DD">
        <w:rPr>
          <w:sz w:val="24"/>
          <w:szCs w:val="24"/>
        </w:rPr>
        <w:t>If parties aren't able to negotiate mutually agreeable contract terms, they could utilize the state mandatory default agreement or take the issue to a PUC to arbitrate. (For more details regarding how this type of contract could operate, see Sections 251 &amp; 252 of Title 47.)</w:t>
      </w:r>
    </w:p>
    <w:p w:rsidR="00507E21" w:rsidRPr="005315DD" w:rsidRDefault="00507E21" w:rsidP="00507E21">
      <w:pPr>
        <w:pStyle w:val="ListParagraph"/>
        <w:numPr>
          <w:ilvl w:val="0"/>
          <w:numId w:val="28"/>
        </w:numPr>
        <w:spacing w:after="0" w:line="240" w:lineRule="auto"/>
        <w:rPr>
          <w:sz w:val="24"/>
          <w:szCs w:val="24"/>
        </w:rPr>
      </w:pPr>
      <w:r w:rsidRPr="00C329B7">
        <w:rPr>
          <w:b/>
          <w:i/>
          <w:sz w:val="24"/>
        </w:rPr>
        <w:t xml:space="preserve">Study a </w:t>
      </w:r>
      <w:r w:rsidRPr="00C329B7">
        <w:rPr>
          <w:b/>
          <w:i/>
          <w:iCs/>
          <w:sz w:val="24"/>
          <w:szCs w:val="24"/>
        </w:rPr>
        <w:t>Mediation/Arbitration Process.</w:t>
      </w:r>
      <w:r w:rsidRPr="005315DD">
        <w:rPr>
          <w:sz w:val="24"/>
          <w:szCs w:val="24"/>
        </w:rPr>
        <w:t xml:space="preserve"> Legal action is one of the few</w:t>
      </w:r>
      <w:r>
        <w:rPr>
          <w:sz w:val="24"/>
          <w:szCs w:val="24"/>
        </w:rPr>
        <w:t xml:space="preserve"> </w:t>
      </w:r>
      <w:r w:rsidRPr="005315DD">
        <w:rPr>
          <w:sz w:val="24"/>
          <w:szCs w:val="24"/>
        </w:rPr>
        <w:t xml:space="preserve">remedies to this barrier, but it is expensive and precludes limited-resource newer entrants. In order to maintain an appropriate level of municipal and state authority in the resolution of state and local matters, expanding legal recourse for noncompliance through the development of streamlined, state-level complaint and remediation/arbitration process that incorporates financial or other penalties for noncompliant parties on each side could serve as a more efficient, transparent, and cost-effective method of resolving noncompliance challenges than going to court. </w:t>
      </w:r>
      <w:r w:rsidRPr="005315DD">
        <w:rPr>
          <w:sz w:val="24"/>
          <w:szCs w:val="24"/>
          <w:u w:val="single"/>
        </w:rPr>
        <w:t xml:space="preserve">Such a process </w:t>
      </w:r>
      <w:r>
        <w:rPr>
          <w:sz w:val="24"/>
          <w:szCs w:val="24"/>
          <w:u w:val="single"/>
        </w:rPr>
        <w:t>c</w:t>
      </w:r>
      <w:r w:rsidRPr="005315DD">
        <w:rPr>
          <w:sz w:val="24"/>
          <w:szCs w:val="24"/>
          <w:u w:val="single"/>
        </w:rPr>
        <w:t>ould be administered by a neutral third party with an escalator (i.e., appeals process) for non-functioning processes to a federal-level review for final de nov</w:t>
      </w:r>
      <w:r>
        <w:rPr>
          <w:sz w:val="24"/>
          <w:szCs w:val="24"/>
          <w:u w:val="single"/>
        </w:rPr>
        <w:t>o</w:t>
      </w:r>
      <w:r w:rsidRPr="005315DD">
        <w:rPr>
          <w:sz w:val="24"/>
          <w:szCs w:val="24"/>
          <w:u w:val="single"/>
        </w:rPr>
        <w:t xml:space="preserve"> determination including preemption (with no deference granted to the mediation/arbitration decision).</w:t>
      </w:r>
    </w:p>
    <w:p w:rsidR="00507E21" w:rsidRPr="005315DD" w:rsidRDefault="00507E21" w:rsidP="00507E21">
      <w:pPr>
        <w:pStyle w:val="ListParagraph"/>
        <w:numPr>
          <w:ilvl w:val="1"/>
          <w:numId w:val="28"/>
        </w:numPr>
        <w:spacing w:after="0" w:line="240" w:lineRule="auto"/>
        <w:rPr>
          <w:sz w:val="24"/>
          <w:szCs w:val="24"/>
        </w:rPr>
      </w:pPr>
      <w:r w:rsidRPr="005315DD">
        <w:rPr>
          <w:sz w:val="24"/>
          <w:szCs w:val="24"/>
        </w:rPr>
        <w:t>Examples of related best practice: Public and private stakeholders in Minnesota developed and utilize a noncompliance adjudication process established with the PUC. The New York state Broadband Program Office serves as state-level agency that coordinates between state and local agencies for all permitting.</w:t>
      </w:r>
    </w:p>
    <w:p w:rsidR="00507E21" w:rsidRPr="005315DD" w:rsidRDefault="00507E21" w:rsidP="00507E21">
      <w:pPr>
        <w:pStyle w:val="ListParagraph"/>
        <w:numPr>
          <w:ilvl w:val="0"/>
          <w:numId w:val="28"/>
        </w:numPr>
        <w:spacing w:after="0" w:line="240" w:lineRule="auto"/>
        <w:rPr>
          <w:sz w:val="24"/>
          <w:szCs w:val="24"/>
        </w:rPr>
      </w:pPr>
      <w:r w:rsidRPr="00C329B7">
        <w:rPr>
          <w:b/>
          <w:i/>
          <w:sz w:val="24"/>
        </w:rPr>
        <w:t>Resource "</w:t>
      </w:r>
      <w:r w:rsidRPr="00C329B7">
        <w:rPr>
          <w:b/>
          <w:i/>
          <w:iCs/>
          <w:sz w:val="24"/>
          <w:szCs w:val="24"/>
        </w:rPr>
        <w:t>S</w:t>
      </w:r>
      <w:r w:rsidRPr="00C329B7">
        <w:rPr>
          <w:b/>
          <w:i/>
          <w:sz w:val="24"/>
        </w:rPr>
        <w:t>haring"</w:t>
      </w:r>
      <w:r w:rsidRPr="00C329B7">
        <w:rPr>
          <w:b/>
          <w:i/>
          <w:sz w:val="24"/>
          <w:szCs w:val="24"/>
        </w:rPr>
        <w:t>.</w:t>
      </w:r>
      <w:r>
        <w:rPr>
          <w:sz w:val="24"/>
          <w:szCs w:val="24"/>
        </w:rPr>
        <w:t xml:space="preserve"> </w:t>
      </w:r>
      <w:r w:rsidRPr="005315DD">
        <w:rPr>
          <w:sz w:val="24"/>
          <w:szCs w:val="24"/>
        </w:rPr>
        <w:t xml:space="preserve">Establish a voluntary pool to which providers can contribute in order to offset a locality’s overtime pay costs, so that applications can be processed expediently where resources are otherwise limited. Require the pool to operate on a 1st-in-1st-out processing basis to prevent special treatment in favor of businesses that contribute to the pool over those that do not contribute or businesses that contribute greater amounts to the pool than other contributors. Establish a “human capital sharing” program among </w:t>
      </w:r>
      <w:r>
        <w:rPr>
          <w:sz w:val="24"/>
          <w:szCs w:val="24"/>
        </w:rPr>
        <w:t>localities</w:t>
      </w:r>
      <w:r w:rsidRPr="005315DD">
        <w:rPr>
          <w:sz w:val="24"/>
          <w:szCs w:val="24"/>
        </w:rPr>
        <w:t xml:space="preserve"> to enable </w:t>
      </w:r>
      <w:r>
        <w:rPr>
          <w:sz w:val="24"/>
          <w:szCs w:val="24"/>
        </w:rPr>
        <w:t>localities</w:t>
      </w:r>
      <w:r w:rsidRPr="005315DD">
        <w:rPr>
          <w:sz w:val="24"/>
          <w:szCs w:val="24"/>
        </w:rPr>
        <w:t xml:space="preserve"> with limited human capital to access qualified personnel in times of greater need than the local market can supply.</w:t>
      </w:r>
    </w:p>
    <w:p w:rsidR="00507E21" w:rsidRDefault="00507E21" w:rsidP="00507E21">
      <w:pPr>
        <w:spacing w:after="0" w:line="240" w:lineRule="auto"/>
      </w:pPr>
    </w:p>
    <w:p w:rsidR="00507E21" w:rsidRPr="00404DF7" w:rsidRDefault="00507E21" w:rsidP="00507E21">
      <w:pPr>
        <w:spacing w:after="0" w:line="240" w:lineRule="auto"/>
        <w:jc w:val="center"/>
        <w:rPr>
          <w:b/>
          <w:bCs/>
          <w:caps/>
          <w:sz w:val="24"/>
          <w:szCs w:val="24"/>
        </w:rPr>
      </w:pPr>
      <w:r w:rsidRPr="00B222AE">
        <w:rPr>
          <w:b/>
          <w:sz w:val="24"/>
          <w:szCs w:val="24"/>
        </w:rPr>
        <w:br w:type="page"/>
      </w:r>
      <w:r w:rsidRPr="00404DF7">
        <w:rPr>
          <w:b/>
          <w:bCs/>
          <w:caps/>
          <w:sz w:val="24"/>
          <w:szCs w:val="24"/>
        </w:rPr>
        <w:lastRenderedPageBreak/>
        <w:t>Appendix G</w:t>
      </w:r>
    </w:p>
    <w:p w:rsidR="00507E21" w:rsidRPr="00404DF7" w:rsidRDefault="00507E21" w:rsidP="00507E21">
      <w:pPr>
        <w:spacing w:after="0" w:line="240" w:lineRule="auto"/>
        <w:jc w:val="center"/>
        <w:rPr>
          <w:b/>
          <w:caps/>
          <w:sz w:val="24"/>
          <w:szCs w:val="24"/>
        </w:rPr>
      </w:pPr>
    </w:p>
    <w:p w:rsidR="00507E21" w:rsidRPr="00404DF7" w:rsidRDefault="00507E21" w:rsidP="00507E21">
      <w:pPr>
        <w:spacing w:after="0" w:line="240" w:lineRule="auto"/>
        <w:jc w:val="center"/>
        <w:rPr>
          <w:b/>
          <w:bCs/>
          <w:caps/>
          <w:sz w:val="24"/>
          <w:szCs w:val="24"/>
        </w:rPr>
      </w:pPr>
      <w:bookmarkStart w:id="10" w:name="g"/>
      <w:r w:rsidRPr="00404DF7">
        <w:rPr>
          <w:b/>
          <w:bCs/>
          <w:caps/>
          <w:sz w:val="24"/>
          <w:szCs w:val="24"/>
        </w:rPr>
        <w:t>Preemption Analysis</w:t>
      </w:r>
    </w:p>
    <w:bookmarkEnd w:id="10"/>
    <w:p w:rsidR="00507E21" w:rsidRPr="00404DF7" w:rsidRDefault="00507E21" w:rsidP="00507E21">
      <w:pPr>
        <w:spacing w:after="0" w:line="240" w:lineRule="auto"/>
        <w:jc w:val="center"/>
        <w:rPr>
          <w:b/>
          <w:bCs/>
          <w:caps/>
          <w:sz w:val="24"/>
          <w:szCs w:val="24"/>
        </w:rPr>
      </w:pPr>
    </w:p>
    <w:p w:rsidR="00507E21" w:rsidRPr="00253C33" w:rsidRDefault="00507E21" w:rsidP="00507E21">
      <w:pPr>
        <w:pStyle w:val="Heading1"/>
        <w:pBdr>
          <w:top w:val="none" w:sz="0" w:space="0" w:color="auto"/>
          <w:left w:val="none" w:sz="0" w:space="0" w:color="auto"/>
          <w:bottom w:val="none" w:sz="0" w:space="0" w:color="auto"/>
          <w:right w:val="none" w:sz="0" w:space="0" w:color="auto"/>
          <w:between w:val="none" w:sz="0" w:space="0" w:color="auto"/>
        </w:pBdr>
        <w:spacing w:before="0" w:after="0" w:line="240" w:lineRule="auto"/>
        <w:ind w:left="360" w:hanging="360"/>
        <w:rPr>
          <w:rFonts w:asciiTheme="minorHAnsi" w:hAnsiTheme="minorHAnsi" w:cstheme="minorBidi"/>
          <w:smallCaps/>
          <w:color w:val="auto"/>
          <w:sz w:val="24"/>
          <w:szCs w:val="24"/>
          <w:lang w:val="en-US"/>
        </w:rPr>
      </w:pPr>
      <w:r w:rsidRPr="00253C33">
        <w:rPr>
          <w:rFonts w:asciiTheme="minorHAnsi" w:hAnsiTheme="minorHAnsi" w:cstheme="minorBidi"/>
          <w:smallCaps/>
          <w:color w:val="auto"/>
          <w:sz w:val="24"/>
          <w:szCs w:val="24"/>
          <w:lang w:val="en-US"/>
        </w:rPr>
        <w:t>Introduction</w:t>
      </w:r>
    </w:p>
    <w:p w:rsidR="00507E21" w:rsidRPr="00253C33" w:rsidDel="007E59A5" w:rsidRDefault="00507E21" w:rsidP="00507E21">
      <w:pPr>
        <w:spacing w:after="0" w:line="240" w:lineRule="auto"/>
        <w:rPr>
          <w:rFonts w:eastAsia="Calibri"/>
          <w:color w:val="333333"/>
          <w:sz w:val="24"/>
          <w:szCs w:val="24"/>
        </w:rPr>
      </w:pPr>
      <w:r w:rsidRPr="00253C33">
        <w:rPr>
          <w:rFonts w:eastAsia="Cambria"/>
          <w:color w:val="333333"/>
          <w:sz w:val="24"/>
          <w:szCs w:val="24"/>
        </w:rPr>
        <w:t>Every</w:t>
      </w:r>
      <w:r w:rsidRPr="00253C33">
        <w:rPr>
          <w:rFonts w:eastAsia="Calibri"/>
          <w:color w:val="333333"/>
          <w:sz w:val="24"/>
          <w:szCs w:val="24"/>
        </w:rPr>
        <w:t xml:space="preserve"> level of government — local, state, and federal — plays a role in broadband deployment. Indeed, the process by which networks are built is impacted by a range of rules and regulations enacted by an array of government entities. These rules typically seek to balance core public interests (</w:t>
      </w:r>
      <w:r w:rsidRPr="00253C33">
        <w:rPr>
          <w:rFonts w:eastAsia="Calibri"/>
          <w:i/>
          <w:iCs/>
          <w:color w:val="333333"/>
          <w:sz w:val="24"/>
          <w:szCs w:val="24"/>
        </w:rPr>
        <w:t>e.g.</w:t>
      </w:r>
      <w:r w:rsidRPr="00253C33">
        <w:rPr>
          <w:rFonts w:eastAsia="Calibri"/>
          <w:color w:val="333333"/>
          <w:sz w:val="24"/>
          <w:szCs w:val="24"/>
        </w:rPr>
        <w:t xml:space="preserve">, safety; aesthetics; financial considerations) against the imperative to deploy advanced communications infrastructure in a timely and cost-effective manner. In many instances, the process works smoothly: </w:t>
      </w:r>
      <w:r>
        <w:rPr>
          <w:rFonts w:eastAsia="Calibri"/>
          <w:color w:val="333333"/>
          <w:sz w:val="24"/>
          <w:szCs w:val="24"/>
        </w:rPr>
        <w:t>broadband providers</w:t>
      </w:r>
      <w:r w:rsidRPr="00253C33">
        <w:rPr>
          <w:rFonts w:eastAsia="Calibri"/>
          <w:color w:val="333333"/>
          <w:sz w:val="24"/>
          <w:szCs w:val="24"/>
        </w:rPr>
        <w:t xml:space="preserve"> and their counterparts in government work together to agree on mutually beneficial terms and construction parameters. But sometimes, the process is anything but smooth: overly burdensome rules, the unwillingness of one party or the other to act in good faith, or any number of other reasons mean delays in broadband deployment. When this happens, it might be necessary for a state legislature or the FCC to explore preemption to remove a barrier or provide clarity regarding the path forward. </w:t>
      </w:r>
    </w:p>
    <w:p w:rsidR="00507E21" w:rsidRPr="00253C33" w:rsidRDefault="00507E21" w:rsidP="00507E21">
      <w:pPr>
        <w:spacing w:after="0" w:line="240" w:lineRule="auto"/>
        <w:rPr>
          <w:rFonts w:eastAsia="Calibri"/>
          <w:color w:val="333333"/>
          <w:sz w:val="24"/>
          <w:szCs w:val="24"/>
        </w:rPr>
      </w:pPr>
      <w:r w:rsidRPr="00253C33">
        <w:rPr>
          <w:rFonts w:eastAsia="Calibri"/>
          <w:color w:val="333333"/>
          <w:sz w:val="24"/>
          <w:szCs w:val="24"/>
        </w:rPr>
        <w:t>But when is it most appropriate to seek such significant redress? And what factors must be considered when deciding whether, and how, to wield this very powerful tool?</w:t>
      </w:r>
    </w:p>
    <w:p w:rsidR="00507E21" w:rsidRPr="00253C33" w:rsidRDefault="00507E21" w:rsidP="00507E21">
      <w:pPr>
        <w:spacing w:after="0" w:line="240" w:lineRule="auto"/>
        <w:rPr>
          <w:rFonts w:eastAsia="Calibri"/>
          <w:color w:val="333333"/>
          <w:sz w:val="24"/>
          <w:szCs w:val="24"/>
        </w:rPr>
      </w:pPr>
    </w:p>
    <w:p w:rsidR="00507E21" w:rsidRPr="00253C33" w:rsidRDefault="00507E21" w:rsidP="00507E21">
      <w:pPr>
        <w:spacing w:after="0" w:line="240" w:lineRule="auto"/>
        <w:rPr>
          <w:rFonts w:eastAsia="Calibri"/>
          <w:color w:val="333333"/>
          <w:sz w:val="24"/>
          <w:szCs w:val="24"/>
        </w:rPr>
      </w:pPr>
      <w:r w:rsidRPr="00253C33">
        <w:rPr>
          <w:rFonts w:eastAsia="Calibri"/>
          <w:color w:val="333333"/>
          <w:sz w:val="24"/>
          <w:szCs w:val="24"/>
        </w:rPr>
        <w:t xml:space="preserve">The following analysis sets forth a conceptual framework that all stakeholders involved in broadband deployment — </w:t>
      </w:r>
      <w:r w:rsidRPr="00253C33">
        <w:rPr>
          <w:rFonts w:eastAsia="Calibri"/>
          <w:i/>
          <w:iCs/>
          <w:color w:val="333333"/>
          <w:sz w:val="24"/>
          <w:szCs w:val="24"/>
        </w:rPr>
        <w:t xml:space="preserve">i.e., </w:t>
      </w:r>
      <w:r w:rsidRPr="00253C33">
        <w:rPr>
          <w:rFonts w:eastAsia="Calibri"/>
          <w:color w:val="333333"/>
          <w:sz w:val="24"/>
          <w:szCs w:val="24"/>
        </w:rPr>
        <w:t xml:space="preserve">both public and private — should use when evaluating the appropriateness of preemption. This framework recognizes that FCC preemption may be necessary when presented with evidence of behavior or rules set by a state or local entity that are so inordinately burdensome or unreasonable relative to the underlying government interest that they can be prohibited </w:t>
      </w:r>
      <w:r w:rsidRPr="00253C33">
        <w:rPr>
          <w:rFonts w:eastAsia="Calibri"/>
          <w:i/>
          <w:iCs/>
          <w:color w:val="333333"/>
          <w:sz w:val="24"/>
          <w:szCs w:val="24"/>
        </w:rPr>
        <w:t>per se</w:t>
      </w:r>
      <w:r w:rsidRPr="00253C33">
        <w:rPr>
          <w:rFonts w:eastAsia="Calibri"/>
          <w:color w:val="333333"/>
          <w:sz w:val="24"/>
          <w:szCs w:val="24"/>
        </w:rPr>
        <w:t xml:space="preserve"> (</w:t>
      </w:r>
      <w:r w:rsidRPr="00253C33">
        <w:rPr>
          <w:rFonts w:eastAsia="Calibri"/>
          <w:i/>
          <w:iCs/>
          <w:color w:val="333333"/>
          <w:sz w:val="24"/>
          <w:szCs w:val="24"/>
        </w:rPr>
        <w:t xml:space="preserve">i.e., </w:t>
      </w:r>
      <w:r w:rsidRPr="00253C33">
        <w:rPr>
          <w:rFonts w:eastAsia="Calibri"/>
          <w:color w:val="333333"/>
          <w:sz w:val="24"/>
          <w:szCs w:val="24"/>
        </w:rPr>
        <w:t>outright). Yet many practices perceived as “barriers” to broadband deployment fall in an expansive middle ground where disputes between a</w:t>
      </w:r>
      <w:r>
        <w:rPr>
          <w:rFonts w:eastAsia="Calibri"/>
          <w:color w:val="333333"/>
          <w:sz w:val="24"/>
          <w:szCs w:val="24"/>
        </w:rPr>
        <w:t xml:space="preserve"> broadband provider</w:t>
      </w:r>
      <w:r w:rsidRPr="00253C33">
        <w:rPr>
          <w:rFonts w:eastAsia="Calibri"/>
          <w:color w:val="333333"/>
          <w:sz w:val="24"/>
          <w:szCs w:val="24"/>
        </w:rPr>
        <w:t xml:space="preserve"> and a government entity could, or should, be resolved without preemption. In these instances, preemption is best seen as a last resort to be pursued only after every other option (</w:t>
      </w:r>
      <w:r w:rsidRPr="00253C33">
        <w:rPr>
          <w:rFonts w:eastAsia="Calibri"/>
          <w:i/>
          <w:iCs/>
          <w:color w:val="333333"/>
          <w:sz w:val="24"/>
          <w:szCs w:val="24"/>
        </w:rPr>
        <w:t xml:space="preserve">e.g., </w:t>
      </w:r>
      <w:r w:rsidRPr="00253C33">
        <w:rPr>
          <w:rFonts w:eastAsia="Calibri"/>
          <w:color w:val="333333"/>
          <w:sz w:val="24"/>
          <w:szCs w:val="24"/>
        </w:rPr>
        <w:t xml:space="preserve">negotiation, arbitration, </w:t>
      </w:r>
      <w:r w:rsidRPr="00253C33">
        <w:rPr>
          <w:rFonts w:eastAsia="Calibri"/>
          <w:i/>
          <w:iCs/>
          <w:color w:val="333333"/>
          <w:sz w:val="24"/>
          <w:szCs w:val="24"/>
        </w:rPr>
        <w:t>etc</w:t>
      </w:r>
      <w:r w:rsidRPr="00253C33">
        <w:rPr>
          <w:rFonts w:eastAsia="Calibri"/>
          <w:color w:val="333333"/>
          <w:sz w:val="24"/>
          <w:szCs w:val="24"/>
        </w:rPr>
        <w:t>.) has been exhausted, and where measures designed to avoid such disputes in the first place (</w:t>
      </w:r>
      <w:r w:rsidRPr="00253C33">
        <w:rPr>
          <w:rFonts w:eastAsia="Calibri"/>
          <w:i/>
          <w:iCs/>
          <w:color w:val="333333"/>
          <w:sz w:val="24"/>
          <w:szCs w:val="24"/>
        </w:rPr>
        <w:t xml:space="preserve">e.g., </w:t>
      </w:r>
      <w:r w:rsidRPr="00253C33">
        <w:rPr>
          <w:rFonts w:eastAsia="Calibri"/>
          <w:color w:val="333333"/>
          <w:sz w:val="24"/>
          <w:szCs w:val="24"/>
        </w:rPr>
        <w:t xml:space="preserve">transparency, </w:t>
      </w:r>
      <w:r w:rsidRPr="00253C33">
        <w:rPr>
          <w:rFonts w:eastAsia="Calibri"/>
          <w:i/>
          <w:iCs/>
          <w:color w:val="333333"/>
          <w:sz w:val="24"/>
          <w:szCs w:val="24"/>
        </w:rPr>
        <w:t>etc</w:t>
      </w:r>
      <w:r w:rsidRPr="00253C33">
        <w:rPr>
          <w:rFonts w:eastAsia="Calibri"/>
          <w:color w:val="333333"/>
          <w:sz w:val="24"/>
          <w:szCs w:val="24"/>
        </w:rPr>
        <w:t xml:space="preserve">.) have failed. </w:t>
      </w:r>
    </w:p>
    <w:p w:rsidR="00507E21" w:rsidRPr="00253C33" w:rsidRDefault="00507E21" w:rsidP="00507E21">
      <w:pPr>
        <w:spacing w:after="0" w:line="240" w:lineRule="auto"/>
        <w:rPr>
          <w:rFonts w:eastAsia="Calibri"/>
          <w:color w:val="333333"/>
          <w:sz w:val="24"/>
          <w:szCs w:val="24"/>
        </w:rPr>
      </w:pPr>
    </w:p>
    <w:p w:rsidR="00507E21" w:rsidRPr="00253C33" w:rsidRDefault="00507E21" w:rsidP="00507E21">
      <w:pPr>
        <w:keepNext/>
        <w:keepLines/>
        <w:spacing w:after="0" w:line="240" w:lineRule="auto"/>
        <w:ind w:left="360"/>
        <w:outlineLvl w:val="0"/>
        <w:rPr>
          <w:rFonts w:eastAsia="Times New Roman"/>
          <w:b/>
          <w:smallCaps/>
          <w:sz w:val="24"/>
          <w:szCs w:val="24"/>
        </w:rPr>
      </w:pPr>
      <w:r w:rsidRPr="00253C33">
        <w:rPr>
          <w:rFonts w:eastAsia="Times New Roman"/>
          <w:b/>
          <w:smallCaps/>
          <w:sz w:val="24"/>
          <w:szCs w:val="24"/>
        </w:rPr>
        <w:t xml:space="preserve">A Brief Overview of FCC Preemption </w:t>
      </w:r>
    </w:p>
    <w:p w:rsidR="00507E21" w:rsidRPr="00253C33" w:rsidRDefault="00507E21" w:rsidP="00507E21">
      <w:pPr>
        <w:spacing w:after="0" w:line="240" w:lineRule="auto"/>
        <w:rPr>
          <w:rFonts w:eastAsia="Calibri"/>
          <w:color w:val="333333"/>
          <w:sz w:val="24"/>
          <w:szCs w:val="24"/>
        </w:rPr>
      </w:pPr>
      <w:r w:rsidRPr="00F41DDA">
        <w:rPr>
          <w:rFonts w:eastAsia="Calibri"/>
          <w:color w:val="333333"/>
          <w:sz w:val="24"/>
          <w:szCs w:val="24"/>
        </w:rPr>
        <w:t>The legal mechanics o</w:t>
      </w:r>
      <w:r w:rsidRPr="00253C33">
        <w:rPr>
          <w:rFonts w:eastAsia="Calibri"/>
          <w:color w:val="333333"/>
          <w:sz w:val="24"/>
          <w:szCs w:val="24"/>
        </w:rPr>
        <w:t>f preemption are complex — and beyond the scope of this analysis. Suffice it to say that Congress has given the FCC several sources of authority for preempting state or local actions that are considered overly disruptive to the deployment of communications services. These provisions of the Communications Act include:</w:t>
      </w:r>
    </w:p>
    <w:p w:rsidR="00507E21" w:rsidRPr="00F41DDA" w:rsidRDefault="00507E21" w:rsidP="00507E21">
      <w:pPr>
        <w:numPr>
          <w:ilvl w:val="0"/>
          <w:numId w:val="19"/>
        </w:numPr>
        <w:spacing w:after="0" w:line="240" w:lineRule="auto"/>
        <w:contextualSpacing/>
        <w:rPr>
          <w:rFonts w:eastAsia="Calibri"/>
          <w:color w:val="333333"/>
          <w:sz w:val="24"/>
          <w:szCs w:val="24"/>
        </w:rPr>
      </w:pPr>
      <w:r w:rsidRPr="00253C33">
        <w:rPr>
          <w:rFonts w:eastAsia="Calibri"/>
          <w:bCs/>
          <w:color w:val="333333"/>
          <w:sz w:val="24"/>
          <w:szCs w:val="24"/>
        </w:rPr>
        <w:t>Requiring just &amp; reasonable rates, terms and practices</w:t>
      </w:r>
      <w:r w:rsidRPr="00F41DDA">
        <w:rPr>
          <w:rFonts w:eastAsia="Calibri"/>
          <w:color w:val="333333"/>
          <w:sz w:val="24"/>
          <w:szCs w:val="24"/>
        </w:rPr>
        <w:t xml:space="preserve"> for most non-government-owned poles under </w:t>
      </w:r>
      <w:r w:rsidRPr="00253C33">
        <w:rPr>
          <w:rFonts w:eastAsia="Calibri"/>
          <w:bCs/>
          <w:color w:val="333333"/>
          <w:sz w:val="24"/>
          <w:szCs w:val="24"/>
        </w:rPr>
        <w:t>Section 224</w:t>
      </w:r>
      <w:r w:rsidRPr="00F41DDA">
        <w:rPr>
          <w:rFonts w:eastAsia="Calibri"/>
          <w:color w:val="333333"/>
          <w:sz w:val="24"/>
          <w:szCs w:val="24"/>
        </w:rPr>
        <w:t>.</w:t>
      </w:r>
      <w:r w:rsidRPr="00F41DDA">
        <w:rPr>
          <w:rFonts w:eastAsia="Calibri"/>
          <w:color w:val="333333"/>
          <w:sz w:val="24"/>
          <w:szCs w:val="24"/>
          <w:vertAlign w:val="superscript"/>
        </w:rPr>
        <w:footnoteReference w:id="2"/>
      </w:r>
    </w:p>
    <w:p w:rsidR="00507E21" w:rsidRPr="00253C33" w:rsidRDefault="00507E21" w:rsidP="00507E21">
      <w:pPr>
        <w:numPr>
          <w:ilvl w:val="0"/>
          <w:numId w:val="19"/>
        </w:numPr>
        <w:spacing w:after="0" w:line="240" w:lineRule="auto"/>
        <w:contextualSpacing/>
        <w:rPr>
          <w:rFonts w:eastAsia="Calibri"/>
          <w:color w:val="333333"/>
          <w:sz w:val="24"/>
          <w:szCs w:val="24"/>
        </w:rPr>
      </w:pPr>
      <w:r w:rsidRPr="00253C33">
        <w:rPr>
          <w:rFonts w:eastAsia="Calibri"/>
          <w:bCs/>
          <w:color w:val="333333"/>
          <w:sz w:val="24"/>
          <w:szCs w:val="24"/>
        </w:rPr>
        <w:t xml:space="preserve">Time </w:t>
      </w:r>
      <w:r>
        <w:rPr>
          <w:rFonts w:eastAsia="Calibri"/>
          <w:bCs/>
          <w:color w:val="333333"/>
          <w:sz w:val="24"/>
          <w:szCs w:val="24"/>
        </w:rPr>
        <w:t>l</w:t>
      </w:r>
      <w:r w:rsidRPr="00253C33">
        <w:rPr>
          <w:rFonts w:eastAsia="Calibri"/>
          <w:bCs/>
          <w:color w:val="333333"/>
          <w:sz w:val="24"/>
          <w:szCs w:val="24"/>
        </w:rPr>
        <w:t>imits</w:t>
      </w:r>
      <w:r>
        <w:rPr>
          <w:rFonts w:eastAsia="Calibri"/>
          <w:bCs/>
          <w:color w:val="333333"/>
          <w:sz w:val="24"/>
          <w:szCs w:val="24"/>
        </w:rPr>
        <w:t>, or “shot clocks”</w:t>
      </w:r>
      <w:r w:rsidRPr="00253C33">
        <w:rPr>
          <w:rFonts w:eastAsia="Calibri"/>
          <w:bCs/>
          <w:color w:val="333333"/>
          <w:sz w:val="24"/>
          <w:szCs w:val="24"/>
        </w:rPr>
        <w:t xml:space="preserve"> </w:t>
      </w:r>
      <w:r w:rsidRPr="00F41DDA">
        <w:rPr>
          <w:rFonts w:eastAsia="Calibri"/>
          <w:color w:val="333333"/>
          <w:sz w:val="24"/>
          <w:szCs w:val="24"/>
        </w:rPr>
        <w:t xml:space="preserve">under </w:t>
      </w:r>
      <w:r w:rsidRPr="00253C33">
        <w:rPr>
          <w:rFonts w:eastAsia="Calibri"/>
          <w:bCs/>
          <w:color w:val="333333"/>
          <w:sz w:val="24"/>
          <w:szCs w:val="24"/>
        </w:rPr>
        <w:t>Section 332(c)(7)(B)(ii)</w:t>
      </w:r>
      <w:r w:rsidRPr="00F41DDA">
        <w:rPr>
          <w:rFonts w:eastAsia="Calibri"/>
          <w:color w:val="333333"/>
          <w:sz w:val="24"/>
          <w:szCs w:val="24"/>
        </w:rPr>
        <w:t xml:space="preserve">: state and local governments must act </w:t>
      </w:r>
      <w:r w:rsidRPr="00253C33">
        <w:rPr>
          <w:rFonts w:eastAsia="Calibri"/>
          <w:color w:val="333333"/>
          <w:sz w:val="24"/>
          <w:szCs w:val="24"/>
        </w:rPr>
        <w:t>on wireless facilities siting requests within a “reasonable time.”</w:t>
      </w:r>
    </w:p>
    <w:p w:rsidR="00507E21" w:rsidRPr="00F41DDA" w:rsidRDefault="00507E21" w:rsidP="00507E21">
      <w:pPr>
        <w:numPr>
          <w:ilvl w:val="0"/>
          <w:numId w:val="19"/>
        </w:numPr>
        <w:spacing w:after="0" w:line="240" w:lineRule="auto"/>
        <w:contextualSpacing/>
        <w:rPr>
          <w:rFonts w:eastAsia="Calibri"/>
          <w:color w:val="333333"/>
          <w:sz w:val="24"/>
          <w:szCs w:val="24"/>
        </w:rPr>
      </w:pPr>
      <w:r w:rsidRPr="00253C33">
        <w:rPr>
          <w:rFonts w:eastAsia="Calibri"/>
          <w:bCs/>
          <w:color w:val="333333"/>
          <w:sz w:val="24"/>
          <w:szCs w:val="24"/>
        </w:rPr>
        <w:t xml:space="preserve">Non-discriminatory treatment </w:t>
      </w:r>
      <w:r w:rsidRPr="00F41DDA">
        <w:rPr>
          <w:rFonts w:eastAsia="Calibri"/>
          <w:color w:val="333333"/>
          <w:sz w:val="24"/>
          <w:szCs w:val="24"/>
        </w:rPr>
        <w:t xml:space="preserve">of providers generally under: </w:t>
      </w:r>
    </w:p>
    <w:p w:rsidR="00507E21" w:rsidRPr="00F41DDA" w:rsidRDefault="00507E21" w:rsidP="00507E21">
      <w:pPr>
        <w:numPr>
          <w:ilvl w:val="1"/>
          <w:numId w:val="19"/>
        </w:numPr>
        <w:spacing w:after="0" w:line="240" w:lineRule="auto"/>
        <w:contextualSpacing/>
        <w:rPr>
          <w:rFonts w:eastAsia="Calibri"/>
          <w:color w:val="333333"/>
          <w:sz w:val="24"/>
          <w:szCs w:val="24"/>
        </w:rPr>
      </w:pPr>
      <w:r w:rsidRPr="00253C33">
        <w:rPr>
          <w:rFonts w:eastAsia="Calibri"/>
          <w:bCs/>
          <w:color w:val="333333"/>
          <w:sz w:val="24"/>
          <w:szCs w:val="24"/>
        </w:rPr>
        <w:lastRenderedPageBreak/>
        <w:t>Section 253(c)</w:t>
      </w:r>
      <w:r w:rsidRPr="00F41DDA">
        <w:rPr>
          <w:rFonts w:eastAsia="Calibri"/>
          <w:color w:val="333333"/>
          <w:sz w:val="24"/>
          <w:szCs w:val="24"/>
        </w:rPr>
        <w:t xml:space="preserve"> “for use of public rights-of-way” generally, and </w:t>
      </w:r>
    </w:p>
    <w:p w:rsidR="00507E21" w:rsidRPr="00253C33" w:rsidRDefault="00507E21" w:rsidP="00507E21">
      <w:pPr>
        <w:numPr>
          <w:ilvl w:val="1"/>
          <w:numId w:val="19"/>
        </w:numPr>
        <w:spacing w:after="0" w:line="240" w:lineRule="auto"/>
        <w:contextualSpacing/>
        <w:rPr>
          <w:rFonts w:eastAsia="Calibri"/>
          <w:color w:val="333333"/>
          <w:sz w:val="24"/>
          <w:szCs w:val="24"/>
        </w:rPr>
      </w:pPr>
      <w:r w:rsidRPr="00253C33">
        <w:rPr>
          <w:rFonts w:eastAsia="Calibri"/>
          <w:bCs/>
          <w:color w:val="333333"/>
          <w:sz w:val="24"/>
          <w:szCs w:val="24"/>
        </w:rPr>
        <w:t xml:space="preserve">Section 332(c)(7)(B)(i)(I) </w:t>
      </w:r>
      <w:r w:rsidRPr="00F41DDA">
        <w:rPr>
          <w:rFonts w:eastAsia="Calibri"/>
          <w:color w:val="333333"/>
          <w:sz w:val="24"/>
          <w:szCs w:val="24"/>
        </w:rPr>
        <w:t>for “providers of functionally equiva</w:t>
      </w:r>
      <w:r w:rsidRPr="00253C33">
        <w:rPr>
          <w:rFonts w:eastAsia="Calibri"/>
          <w:color w:val="333333"/>
          <w:sz w:val="24"/>
          <w:szCs w:val="24"/>
        </w:rPr>
        <w:t xml:space="preserve">lent services” in the “regulation of the placement, construction, and modification of personal wireless service facilities” (which includes more than just the rights of way, </w:t>
      </w:r>
      <w:r w:rsidRPr="00253C33">
        <w:rPr>
          <w:rFonts w:eastAsia="Calibri"/>
          <w:i/>
          <w:iCs/>
          <w:color w:val="333333"/>
          <w:sz w:val="24"/>
          <w:szCs w:val="24"/>
        </w:rPr>
        <w:t>e.g.</w:t>
      </w:r>
      <w:r w:rsidRPr="00253C33">
        <w:rPr>
          <w:rFonts w:eastAsia="Calibri"/>
          <w:color w:val="333333"/>
          <w:sz w:val="24"/>
          <w:szCs w:val="24"/>
        </w:rPr>
        <w:t>, private buildings).</w:t>
      </w:r>
    </w:p>
    <w:p w:rsidR="00507E21" w:rsidRPr="00F41DDA" w:rsidRDefault="00507E21" w:rsidP="00507E21">
      <w:pPr>
        <w:numPr>
          <w:ilvl w:val="0"/>
          <w:numId w:val="19"/>
        </w:numPr>
        <w:spacing w:after="0" w:line="240" w:lineRule="auto"/>
        <w:contextualSpacing/>
        <w:rPr>
          <w:rFonts w:eastAsia="Calibri"/>
          <w:color w:val="333333"/>
          <w:sz w:val="24"/>
          <w:szCs w:val="24"/>
        </w:rPr>
      </w:pPr>
      <w:r w:rsidRPr="00253C33">
        <w:rPr>
          <w:rFonts w:eastAsia="Calibri"/>
          <w:bCs/>
          <w:color w:val="333333"/>
          <w:sz w:val="24"/>
          <w:szCs w:val="24"/>
        </w:rPr>
        <w:t>No prohibitions, or effective prohibitions, on deployment</w:t>
      </w:r>
      <w:r w:rsidRPr="00F41DDA">
        <w:rPr>
          <w:rFonts w:eastAsia="Calibri"/>
          <w:color w:val="333333"/>
          <w:sz w:val="24"/>
          <w:szCs w:val="24"/>
        </w:rPr>
        <w:t xml:space="preserve"> under:</w:t>
      </w:r>
    </w:p>
    <w:p w:rsidR="00507E21" w:rsidRPr="00F41DDA" w:rsidRDefault="00507E21" w:rsidP="00507E21">
      <w:pPr>
        <w:numPr>
          <w:ilvl w:val="1"/>
          <w:numId w:val="19"/>
        </w:numPr>
        <w:spacing w:after="0" w:line="240" w:lineRule="auto"/>
        <w:contextualSpacing/>
        <w:rPr>
          <w:rFonts w:eastAsia="Calibri"/>
          <w:color w:val="333333"/>
          <w:sz w:val="24"/>
          <w:szCs w:val="24"/>
        </w:rPr>
      </w:pPr>
      <w:r w:rsidRPr="00253C33">
        <w:rPr>
          <w:rFonts w:eastAsia="Calibri"/>
          <w:bCs/>
          <w:color w:val="333333"/>
          <w:sz w:val="24"/>
          <w:szCs w:val="24"/>
        </w:rPr>
        <w:t>Section 253(a)</w:t>
      </w:r>
      <w:r w:rsidRPr="00F41DDA">
        <w:rPr>
          <w:rFonts w:eastAsia="Calibri"/>
          <w:color w:val="333333"/>
          <w:sz w:val="24"/>
          <w:szCs w:val="24"/>
        </w:rPr>
        <w:t>: “No State or local statute or regulation, or other … legal requirement, may prohibit or have the effect of prohibiting the ability of any entity to provide any interstate or intrastate telecommunications service;” and</w:t>
      </w:r>
    </w:p>
    <w:p w:rsidR="00507E21" w:rsidRPr="00253C33" w:rsidRDefault="00507E21" w:rsidP="00507E21">
      <w:pPr>
        <w:numPr>
          <w:ilvl w:val="1"/>
          <w:numId w:val="19"/>
        </w:numPr>
        <w:spacing w:after="0" w:line="240" w:lineRule="auto"/>
        <w:contextualSpacing/>
        <w:rPr>
          <w:rFonts w:eastAsia="Calibri"/>
          <w:color w:val="333333"/>
          <w:sz w:val="24"/>
          <w:szCs w:val="24"/>
        </w:rPr>
      </w:pPr>
      <w:r w:rsidRPr="00253C33">
        <w:rPr>
          <w:rFonts w:eastAsia="Calibri"/>
          <w:bCs/>
          <w:color w:val="333333"/>
          <w:sz w:val="24"/>
          <w:szCs w:val="24"/>
        </w:rPr>
        <w:t>Section 332(c)(7)(B)(i)(I)</w:t>
      </w:r>
      <w:r w:rsidRPr="00F41DDA">
        <w:rPr>
          <w:rFonts w:eastAsia="Calibri"/>
          <w:color w:val="333333"/>
          <w:sz w:val="24"/>
          <w:szCs w:val="24"/>
        </w:rPr>
        <w:t>:</w:t>
      </w:r>
      <w:r w:rsidRPr="00253C33">
        <w:rPr>
          <w:rFonts w:eastAsia="Calibri"/>
          <w:bCs/>
          <w:color w:val="333333"/>
          <w:sz w:val="24"/>
          <w:szCs w:val="24"/>
        </w:rPr>
        <w:t xml:space="preserve"> </w:t>
      </w:r>
      <w:r w:rsidRPr="00F41DDA">
        <w:rPr>
          <w:rFonts w:eastAsia="Calibri"/>
          <w:color w:val="333333"/>
          <w:sz w:val="24"/>
          <w:szCs w:val="24"/>
        </w:rPr>
        <w:t>the same for personal wireless services.</w:t>
      </w:r>
    </w:p>
    <w:p w:rsidR="00507E21" w:rsidRPr="00253C33" w:rsidRDefault="00507E21" w:rsidP="00507E21">
      <w:pPr>
        <w:spacing w:after="0" w:line="240" w:lineRule="auto"/>
        <w:ind w:left="1440"/>
        <w:contextualSpacing/>
        <w:rPr>
          <w:rFonts w:eastAsia="Calibri"/>
          <w:color w:val="333333"/>
          <w:sz w:val="24"/>
          <w:szCs w:val="24"/>
        </w:rPr>
      </w:pPr>
    </w:p>
    <w:p w:rsidR="00507E21" w:rsidRPr="00253C33" w:rsidRDefault="00507E21" w:rsidP="00507E21">
      <w:pPr>
        <w:spacing w:after="0" w:line="240" w:lineRule="auto"/>
        <w:rPr>
          <w:rFonts w:eastAsia="Calibri"/>
          <w:color w:val="333333"/>
          <w:sz w:val="24"/>
          <w:szCs w:val="24"/>
        </w:rPr>
      </w:pPr>
      <w:r w:rsidRPr="00253C33">
        <w:rPr>
          <w:rFonts w:eastAsia="Calibri"/>
          <w:color w:val="333333"/>
          <w:sz w:val="24"/>
          <w:szCs w:val="24"/>
        </w:rPr>
        <w:t xml:space="preserve">Such preemption is never without conflict. Litigation almost always ensues as state and local entities attempt to preserve their authority and right to self-determination. Unfortunately, the case law stemming from these disputes is riddled with contrasting interpretations of the appropriateness and reach of these preemption provisions in the context of advanced communications deployment. </w:t>
      </w:r>
    </w:p>
    <w:p w:rsidR="00507E21" w:rsidRPr="00253C33" w:rsidRDefault="00507E21" w:rsidP="00507E21">
      <w:pPr>
        <w:spacing w:after="0" w:line="240" w:lineRule="auto"/>
        <w:rPr>
          <w:rFonts w:eastAsia="Calibri"/>
          <w:color w:val="333333"/>
          <w:sz w:val="24"/>
          <w:szCs w:val="24"/>
        </w:rPr>
      </w:pPr>
    </w:p>
    <w:p w:rsidR="00507E21" w:rsidRPr="00F41DDA" w:rsidRDefault="00507E21" w:rsidP="00507E21">
      <w:pPr>
        <w:spacing w:after="0" w:line="240" w:lineRule="auto"/>
        <w:rPr>
          <w:rFonts w:eastAsia="Calibri"/>
          <w:color w:val="333333"/>
          <w:sz w:val="24"/>
          <w:szCs w:val="24"/>
        </w:rPr>
      </w:pPr>
      <w:r w:rsidRPr="00253C33">
        <w:rPr>
          <w:rFonts w:eastAsia="Calibri"/>
          <w:color w:val="333333"/>
          <w:sz w:val="24"/>
          <w:szCs w:val="24"/>
        </w:rPr>
        <w:t>Even so, it is undisputed that the Commission has a duty pursuant to sections 253 and 332 to remove state and local regulatory barriers to broadband deployment that act as prohibitions and effective prohibitions.</w:t>
      </w:r>
      <w:r w:rsidRPr="00F41DDA">
        <w:rPr>
          <w:rFonts w:eastAsia="Calibri"/>
          <w:color w:val="333333"/>
          <w:sz w:val="24"/>
          <w:szCs w:val="24"/>
          <w:vertAlign w:val="superscript"/>
        </w:rPr>
        <w:footnoteReference w:id="3"/>
      </w:r>
      <w:r w:rsidRPr="00F41DDA">
        <w:rPr>
          <w:rFonts w:eastAsia="Calibri"/>
          <w:color w:val="333333"/>
          <w:sz w:val="24"/>
          <w:szCs w:val="24"/>
        </w:rPr>
        <w:t xml:space="preserve"> However, both sections are subject to three important limitations. </w:t>
      </w:r>
    </w:p>
    <w:p w:rsidR="00507E21" w:rsidRPr="00253C33" w:rsidRDefault="00507E21" w:rsidP="00507E21">
      <w:pPr>
        <w:numPr>
          <w:ilvl w:val="0"/>
          <w:numId w:val="23"/>
        </w:numPr>
        <w:spacing w:after="0" w:line="240" w:lineRule="auto"/>
        <w:contextualSpacing/>
        <w:rPr>
          <w:rFonts w:eastAsia="Calibri"/>
          <w:color w:val="333333"/>
          <w:sz w:val="24"/>
          <w:szCs w:val="24"/>
        </w:rPr>
      </w:pPr>
      <w:r w:rsidRPr="00253C33">
        <w:rPr>
          <w:rFonts w:eastAsia="Calibri"/>
          <w:color w:val="333333"/>
          <w:sz w:val="24"/>
          <w:szCs w:val="24"/>
        </w:rPr>
        <w:t>First, they apply to “telecommunications services” (or facilities for providing them), and thus the FCC’s power under these sections may be reduced or undermined if broadband is no longer a telecommunications service subject to Title II.</w:t>
      </w:r>
      <w:r w:rsidRPr="00F41DDA">
        <w:rPr>
          <w:rFonts w:eastAsia="Calibri"/>
          <w:color w:val="333333"/>
          <w:sz w:val="24"/>
          <w:szCs w:val="24"/>
          <w:vertAlign w:val="superscript"/>
        </w:rPr>
        <w:footnoteReference w:id="4"/>
      </w:r>
      <w:r w:rsidRPr="00F41DDA">
        <w:rPr>
          <w:rFonts w:eastAsia="Calibri"/>
          <w:color w:val="333333"/>
          <w:sz w:val="24"/>
          <w:szCs w:val="24"/>
        </w:rPr>
        <w:t xml:space="preserve"> However, given that most networks will likely co</w:t>
      </w:r>
      <w:r w:rsidRPr="00253C33">
        <w:rPr>
          <w:rFonts w:eastAsia="Calibri"/>
          <w:color w:val="333333"/>
          <w:sz w:val="24"/>
          <w:szCs w:val="24"/>
        </w:rPr>
        <w:t xml:space="preserve">ntinue to provide telephony, which remains subject to Title II, the FCC will retain </w:t>
      </w:r>
      <w:r w:rsidRPr="00253C33">
        <w:rPr>
          <w:rFonts w:eastAsia="Calibri"/>
          <w:i/>
          <w:iCs/>
          <w:color w:val="333333"/>
          <w:sz w:val="24"/>
          <w:szCs w:val="24"/>
        </w:rPr>
        <w:t xml:space="preserve">some </w:t>
      </w:r>
      <w:r w:rsidRPr="00253C33">
        <w:rPr>
          <w:rFonts w:eastAsia="Calibri"/>
          <w:color w:val="333333"/>
          <w:sz w:val="24"/>
          <w:szCs w:val="24"/>
        </w:rPr>
        <w:t>power to use these provisions to ease broadband deployment.</w:t>
      </w:r>
    </w:p>
    <w:p w:rsidR="00507E21" w:rsidRPr="00253C33" w:rsidRDefault="00507E21" w:rsidP="00507E21">
      <w:pPr>
        <w:numPr>
          <w:ilvl w:val="0"/>
          <w:numId w:val="23"/>
        </w:numPr>
        <w:spacing w:after="0" w:line="240" w:lineRule="auto"/>
        <w:contextualSpacing/>
        <w:rPr>
          <w:rFonts w:eastAsia="Calibri"/>
          <w:color w:val="333333"/>
          <w:sz w:val="24"/>
          <w:szCs w:val="24"/>
        </w:rPr>
      </w:pPr>
      <w:r w:rsidRPr="00253C33">
        <w:rPr>
          <w:rFonts w:eastAsia="Calibri"/>
          <w:color w:val="333333"/>
          <w:sz w:val="24"/>
          <w:szCs w:val="24"/>
        </w:rPr>
        <w:t xml:space="preserve">Second, both sections set a high bar for justifying FCC preemption (at least relative to Section 224’s “just and reasonable” standard), focusing on either discrimination or the prohibitive effects on deployment. Furthermore, at least two federal appeals courts have required </w:t>
      </w:r>
      <w:r w:rsidRPr="00253C33">
        <w:rPr>
          <w:rFonts w:eastAsia="Calibri"/>
          <w:i/>
          <w:iCs/>
          <w:color w:val="333333"/>
          <w:sz w:val="24"/>
          <w:szCs w:val="24"/>
        </w:rPr>
        <w:t>actual</w:t>
      </w:r>
      <w:r w:rsidRPr="00253C33">
        <w:rPr>
          <w:rFonts w:eastAsia="Calibri"/>
          <w:color w:val="333333"/>
          <w:sz w:val="24"/>
          <w:szCs w:val="24"/>
        </w:rPr>
        <w:t>, not merely potential, proof of</w:t>
      </w:r>
      <w:r w:rsidRPr="00253C33">
        <w:rPr>
          <w:rFonts w:eastAsia="Calibri"/>
          <w:i/>
          <w:iCs/>
          <w:color w:val="333333"/>
          <w:sz w:val="24"/>
          <w:szCs w:val="24"/>
        </w:rPr>
        <w:t xml:space="preserve"> </w:t>
      </w:r>
      <w:r w:rsidRPr="00253C33">
        <w:rPr>
          <w:rFonts w:eastAsia="Calibri"/>
          <w:color w:val="333333"/>
          <w:sz w:val="24"/>
          <w:szCs w:val="24"/>
        </w:rPr>
        <w:t>discrimination or prohibitive effect on deployment.</w:t>
      </w:r>
      <w:r w:rsidRPr="00F41DDA">
        <w:rPr>
          <w:rFonts w:eastAsia="Calibri"/>
          <w:color w:val="333333"/>
          <w:sz w:val="24"/>
          <w:szCs w:val="24"/>
          <w:vertAlign w:val="superscript"/>
        </w:rPr>
        <w:footnoteReference w:id="5"/>
      </w:r>
      <w:r w:rsidRPr="00F41DDA" w:rsidDel="00EC682E">
        <w:rPr>
          <w:rFonts w:eastAsia="Calibri"/>
          <w:color w:val="333333"/>
          <w:sz w:val="24"/>
          <w:szCs w:val="24"/>
          <w:vertAlign w:val="superscript"/>
        </w:rPr>
        <w:t xml:space="preserve"> </w:t>
      </w:r>
    </w:p>
    <w:p w:rsidR="00507E21" w:rsidRPr="00253C33" w:rsidRDefault="00507E21" w:rsidP="00507E21">
      <w:pPr>
        <w:numPr>
          <w:ilvl w:val="0"/>
          <w:numId w:val="23"/>
        </w:numPr>
        <w:spacing w:after="0" w:line="240" w:lineRule="auto"/>
        <w:contextualSpacing/>
        <w:rPr>
          <w:rFonts w:eastAsia="Calibri"/>
          <w:color w:val="333333"/>
          <w:sz w:val="24"/>
          <w:szCs w:val="24"/>
        </w:rPr>
      </w:pPr>
      <w:r w:rsidRPr="00253C33">
        <w:rPr>
          <w:rFonts w:eastAsia="Calibri"/>
          <w:color w:val="333333"/>
          <w:sz w:val="24"/>
          <w:szCs w:val="24"/>
        </w:rPr>
        <w:t>Third, as a matter of federalism, courts have held that the FCC may apply these provisions only to state and local “regulatory” functions (</w:t>
      </w:r>
      <w:r w:rsidRPr="00253C33">
        <w:rPr>
          <w:rFonts w:eastAsia="Calibri"/>
          <w:i/>
          <w:iCs/>
          <w:color w:val="333333"/>
          <w:sz w:val="24"/>
          <w:szCs w:val="24"/>
        </w:rPr>
        <w:t>e.g.</w:t>
      </w:r>
      <w:r w:rsidRPr="00253C33">
        <w:rPr>
          <w:rFonts w:eastAsia="Calibri"/>
          <w:color w:val="333333"/>
          <w:sz w:val="24"/>
          <w:szCs w:val="24"/>
        </w:rPr>
        <w:t xml:space="preserve">, permissions), but not to </w:t>
      </w:r>
      <w:r w:rsidRPr="00253C33">
        <w:rPr>
          <w:rFonts w:eastAsia="Calibri"/>
          <w:color w:val="333333"/>
          <w:sz w:val="24"/>
          <w:szCs w:val="24"/>
        </w:rPr>
        <w:lastRenderedPageBreak/>
        <w:t>“proprietary” functions.</w:t>
      </w:r>
      <w:r w:rsidRPr="00F41DDA">
        <w:rPr>
          <w:rFonts w:eastAsia="Calibri"/>
          <w:color w:val="333333"/>
          <w:sz w:val="24"/>
          <w:szCs w:val="24"/>
          <w:vertAlign w:val="superscript"/>
        </w:rPr>
        <w:footnoteReference w:id="6"/>
      </w:r>
      <w:r w:rsidRPr="00F41DDA">
        <w:rPr>
          <w:rFonts w:eastAsia="Calibri"/>
          <w:color w:val="333333"/>
          <w:sz w:val="24"/>
          <w:szCs w:val="24"/>
        </w:rPr>
        <w:t xml:space="preserve"> Acknowledging this distinction, an</w:t>
      </w:r>
      <w:r w:rsidRPr="00253C33">
        <w:rPr>
          <w:rFonts w:eastAsia="Calibri"/>
          <w:color w:val="333333"/>
          <w:sz w:val="24"/>
          <w:szCs w:val="24"/>
        </w:rPr>
        <w:t>d that only Congress could change it (because preemption requires a “clear statement” from Congress to supersede state sovereignty), the FCC’s recent NOI sought comment on how to apply it.</w:t>
      </w:r>
      <w:r w:rsidRPr="00F41DDA">
        <w:rPr>
          <w:rFonts w:eastAsia="Calibri"/>
          <w:color w:val="333333"/>
          <w:sz w:val="24"/>
          <w:szCs w:val="24"/>
          <w:vertAlign w:val="superscript"/>
        </w:rPr>
        <w:footnoteReference w:id="7"/>
      </w:r>
      <w:r w:rsidRPr="00F41DDA">
        <w:rPr>
          <w:rFonts w:eastAsia="Calibri"/>
          <w:color w:val="333333"/>
          <w:sz w:val="24"/>
          <w:szCs w:val="24"/>
        </w:rPr>
        <w:t xml:space="preserve"> Informing such line-drawing by the FCC — or by Congress — could pr</w:t>
      </w:r>
      <w:r w:rsidRPr="00253C33">
        <w:rPr>
          <w:rFonts w:eastAsia="Calibri"/>
          <w:color w:val="333333"/>
          <w:sz w:val="24"/>
          <w:szCs w:val="24"/>
        </w:rPr>
        <w:t xml:space="preserve">ove to be among the BDAC’s most important recommendations and deserves additional scrutiny by this working group. </w:t>
      </w:r>
    </w:p>
    <w:p w:rsidR="00507E21" w:rsidRPr="00253C33" w:rsidRDefault="00507E21" w:rsidP="00507E21">
      <w:pPr>
        <w:spacing w:after="0" w:line="240" w:lineRule="auto"/>
        <w:ind w:left="720"/>
        <w:contextualSpacing/>
        <w:rPr>
          <w:rFonts w:eastAsia="Calibri"/>
          <w:color w:val="333333"/>
          <w:sz w:val="24"/>
          <w:szCs w:val="24"/>
        </w:rPr>
      </w:pPr>
    </w:p>
    <w:p w:rsidR="00507E21" w:rsidRPr="00253C33" w:rsidRDefault="00507E21" w:rsidP="00507E21">
      <w:pPr>
        <w:keepNext/>
        <w:keepLines/>
        <w:spacing w:after="0" w:line="240" w:lineRule="auto"/>
        <w:ind w:left="360" w:hanging="360"/>
        <w:outlineLvl w:val="0"/>
        <w:rPr>
          <w:rFonts w:eastAsia="Times New Roman"/>
          <w:b/>
          <w:bCs/>
          <w:smallCaps/>
          <w:sz w:val="24"/>
          <w:szCs w:val="24"/>
        </w:rPr>
      </w:pPr>
      <w:r w:rsidRPr="00253C33">
        <w:rPr>
          <w:rFonts w:eastAsia="Times New Roman"/>
          <w:b/>
          <w:bCs/>
          <w:smallCaps/>
          <w:sz w:val="24"/>
          <w:szCs w:val="24"/>
        </w:rPr>
        <w:t>Findings: The Potential Role of Preemption in Facilitating Broadband Deployment</w:t>
      </w:r>
    </w:p>
    <w:p w:rsidR="00507E21" w:rsidRPr="00253C33" w:rsidRDefault="00507E21" w:rsidP="00507E21">
      <w:pPr>
        <w:spacing w:after="0" w:line="240" w:lineRule="auto"/>
        <w:rPr>
          <w:rFonts w:eastAsia="Calibri"/>
          <w:color w:val="333333"/>
          <w:sz w:val="24"/>
          <w:szCs w:val="24"/>
        </w:rPr>
      </w:pPr>
      <w:r w:rsidRPr="00F41DDA">
        <w:rPr>
          <w:rFonts w:eastAsia="Calibri"/>
          <w:color w:val="333333"/>
          <w:sz w:val="24"/>
          <w:szCs w:val="24"/>
        </w:rPr>
        <w:t>The following findings are evident after studying the issue of pr</w:t>
      </w:r>
      <w:r w:rsidRPr="00253C33">
        <w:rPr>
          <w:rFonts w:eastAsia="Calibri"/>
          <w:color w:val="333333"/>
          <w:sz w:val="24"/>
          <w:szCs w:val="24"/>
        </w:rPr>
        <w:t xml:space="preserve">eemption and considering its potential role(s) in the context of hastening broadband deployment: </w:t>
      </w:r>
    </w:p>
    <w:p w:rsidR="00507E21" w:rsidRPr="00253C33" w:rsidRDefault="00507E21" w:rsidP="00507E21">
      <w:pPr>
        <w:numPr>
          <w:ilvl w:val="0"/>
          <w:numId w:val="18"/>
        </w:numPr>
        <w:spacing w:after="0" w:line="240" w:lineRule="auto"/>
        <w:contextualSpacing/>
        <w:rPr>
          <w:rFonts w:eastAsia="Calibri"/>
          <w:color w:val="333333"/>
          <w:sz w:val="24"/>
          <w:szCs w:val="24"/>
        </w:rPr>
      </w:pPr>
      <w:r w:rsidRPr="00253C33">
        <w:rPr>
          <w:rFonts w:eastAsia="Calibri"/>
          <w:color w:val="333333"/>
          <w:sz w:val="24"/>
          <w:szCs w:val="24"/>
        </w:rPr>
        <w:t>Each level of government has legitimate and compelling interests in assuring a robust role in the broadband deployment process. For cities and states, these interests revolve primarily around protecting the safety and welfare of their citizens.</w:t>
      </w:r>
    </w:p>
    <w:p w:rsidR="00507E21" w:rsidRPr="00253C33" w:rsidRDefault="00507E21" w:rsidP="00507E21">
      <w:pPr>
        <w:numPr>
          <w:ilvl w:val="0"/>
          <w:numId w:val="18"/>
        </w:numPr>
        <w:spacing w:after="0" w:line="240" w:lineRule="auto"/>
        <w:contextualSpacing/>
        <w:rPr>
          <w:rFonts w:eastAsia="Calibri"/>
          <w:color w:val="333333"/>
          <w:sz w:val="24"/>
          <w:szCs w:val="24"/>
        </w:rPr>
      </w:pPr>
      <w:r w:rsidRPr="00253C33">
        <w:rPr>
          <w:rFonts w:eastAsia="Calibri"/>
          <w:color w:val="333333"/>
          <w:sz w:val="24"/>
          <w:szCs w:val="24"/>
        </w:rPr>
        <w:t>Preemption is a powerful tool that should only be used (in the context of broadband deployment) in certain well-defined instances lest its overuse undermines the sovereignty of states and the statutory authority of their localities to manage their rights-of-way and other assets.</w:t>
      </w:r>
    </w:p>
    <w:p w:rsidR="00507E21" w:rsidRPr="00253C33" w:rsidRDefault="00507E21" w:rsidP="00507E21">
      <w:pPr>
        <w:numPr>
          <w:ilvl w:val="0"/>
          <w:numId w:val="18"/>
        </w:numPr>
        <w:spacing w:after="0" w:line="240" w:lineRule="auto"/>
        <w:contextualSpacing/>
        <w:rPr>
          <w:rFonts w:eastAsia="Calibri"/>
          <w:color w:val="333333"/>
          <w:sz w:val="24"/>
          <w:szCs w:val="24"/>
        </w:rPr>
      </w:pPr>
      <w:r w:rsidRPr="00253C33">
        <w:rPr>
          <w:rFonts w:eastAsia="Calibri"/>
          <w:color w:val="333333"/>
          <w:sz w:val="24"/>
          <w:szCs w:val="24"/>
        </w:rPr>
        <w:t>Preemption can bring order to the chaos of conflicting or overlapping regulatory approaches in place at the state and/or local levels. Indeed, preemption can be helpful in providing clear guidance about who decides which issues and about the standards that should be used to assure timely decision-making</w:t>
      </w:r>
      <w:r>
        <w:rPr>
          <w:rFonts w:eastAsia="Calibri"/>
          <w:color w:val="333333"/>
          <w:sz w:val="24"/>
          <w:szCs w:val="24"/>
        </w:rPr>
        <w:t>.</w:t>
      </w:r>
      <w:r w:rsidRPr="00253C33">
        <w:rPr>
          <w:rFonts w:eastAsia="Calibri"/>
          <w:color w:val="333333"/>
          <w:sz w:val="24"/>
          <w:szCs w:val="24"/>
        </w:rPr>
        <w:t xml:space="preserve"> </w:t>
      </w:r>
    </w:p>
    <w:p w:rsidR="00507E21" w:rsidRPr="00253C33" w:rsidRDefault="00507E21" w:rsidP="00507E21">
      <w:pPr>
        <w:numPr>
          <w:ilvl w:val="0"/>
          <w:numId w:val="18"/>
        </w:numPr>
        <w:spacing w:after="0" w:line="240" w:lineRule="auto"/>
        <w:contextualSpacing/>
        <w:rPr>
          <w:rFonts w:eastAsia="Calibri"/>
          <w:color w:val="333333"/>
          <w:sz w:val="24"/>
          <w:szCs w:val="24"/>
        </w:rPr>
      </w:pPr>
      <w:r w:rsidRPr="00253C33">
        <w:rPr>
          <w:rFonts w:eastAsia="Calibri"/>
          <w:color w:val="333333"/>
          <w:sz w:val="24"/>
          <w:szCs w:val="24"/>
        </w:rPr>
        <w:t xml:space="preserve">Preemption can also be impactful as a remedy in instances where a government entity engages in behavior that is deemed to be </w:t>
      </w:r>
      <w:r w:rsidRPr="00253C33">
        <w:rPr>
          <w:rFonts w:eastAsia="Calibri"/>
          <w:i/>
          <w:iCs/>
          <w:color w:val="333333"/>
          <w:sz w:val="24"/>
          <w:szCs w:val="24"/>
        </w:rPr>
        <w:t xml:space="preserve">per se </w:t>
      </w:r>
      <w:r w:rsidRPr="00253C33">
        <w:rPr>
          <w:rFonts w:eastAsia="Calibri"/>
          <w:color w:val="333333"/>
          <w:sz w:val="24"/>
          <w:szCs w:val="24"/>
        </w:rPr>
        <w:t>unreasonable or in clear conflict with the preferences or approach articulated by a higher-level government entity.</w:t>
      </w:r>
    </w:p>
    <w:p w:rsidR="00507E21" w:rsidRPr="00253C33" w:rsidRDefault="00507E21" w:rsidP="00507E21">
      <w:pPr>
        <w:numPr>
          <w:ilvl w:val="0"/>
          <w:numId w:val="18"/>
        </w:numPr>
        <w:spacing w:after="0" w:line="240" w:lineRule="auto"/>
        <w:contextualSpacing/>
        <w:rPr>
          <w:rFonts w:eastAsia="Calibri"/>
          <w:color w:val="333333"/>
          <w:sz w:val="24"/>
          <w:szCs w:val="24"/>
        </w:rPr>
      </w:pPr>
      <w:r w:rsidRPr="00253C33">
        <w:rPr>
          <w:rFonts w:eastAsia="Calibri"/>
          <w:color w:val="333333"/>
          <w:sz w:val="24"/>
          <w:szCs w:val="24"/>
        </w:rPr>
        <w:t xml:space="preserve">Preemption in the context of addressing discrete barriers to broadband deployment that are not </w:t>
      </w:r>
      <w:r w:rsidRPr="00253C33">
        <w:rPr>
          <w:rFonts w:eastAsia="Calibri"/>
          <w:i/>
          <w:iCs/>
          <w:color w:val="333333"/>
          <w:sz w:val="24"/>
          <w:szCs w:val="24"/>
        </w:rPr>
        <w:t xml:space="preserve">per se </w:t>
      </w:r>
      <w:r w:rsidRPr="00253C33">
        <w:rPr>
          <w:rFonts w:eastAsia="Calibri"/>
          <w:color w:val="333333"/>
          <w:sz w:val="24"/>
          <w:szCs w:val="24"/>
        </w:rPr>
        <w:t xml:space="preserve">unreasonable should be viewed as a last resort. </w:t>
      </w:r>
    </w:p>
    <w:p w:rsidR="00507E21" w:rsidRPr="00253C33" w:rsidRDefault="00507E21" w:rsidP="00507E21">
      <w:pPr>
        <w:spacing w:after="0" w:line="240" w:lineRule="auto"/>
        <w:ind w:left="720"/>
        <w:contextualSpacing/>
        <w:rPr>
          <w:rFonts w:eastAsia="Calibri"/>
          <w:color w:val="333333"/>
          <w:sz w:val="24"/>
          <w:szCs w:val="24"/>
        </w:rPr>
      </w:pPr>
    </w:p>
    <w:p w:rsidR="00507E21" w:rsidRPr="00253C33" w:rsidRDefault="00507E21" w:rsidP="00507E21">
      <w:pPr>
        <w:keepNext/>
        <w:keepLines/>
        <w:spacing w:after="0" w:line="240" w:lineRule="auto"/>
        <w:outlineLvl w:val="0"/>
        <w:rPr>
          <w:rFonts w:eastAsia="Times New Roman"/>
          <w:b/>
          <w:bCs/>
          <w:smallCaps/>
          <w:sz w:val="24"/>
          <w:szCs w:val="24"/>
        </w:rPr>
      </w:pPr>
      <w:r w:rsidRPr="00253C33">
        <w:rPr>
          <w:rFonts w:eastAsia="Times New Roman"/>
          <w:b/>
          <w:bCs/>
          <w:smallCaps/>
          <w:sz w:val="24"/>
          <w:szCs w:val="24"/>
        </w:rPr>
        <w:lastRenderedPageBreak/>
        <w:t>A Conceptual Framework for Deciding When Preemption Might Be Appropriate to Hasten Broadband Deployment</w:t>
      </w:r>
    </w:p>
    <w:p w:rsidR="00507E21" w:rsidRPr="00253C33" w:rsidRDefault="00507E21" w:rsidP="00507E21">
      <w:pPr>
        <w:spacing w:after="0" w:line="240" w:lineRule="auto"/>
        <w:rPr>
          <w:rFonts w:eastAsia="Calibri"/>
          <w:color w:val="333333"/>
          <w:sz w:val="24"/>
          <w:szCs w:val="24"/>
        </w:rPr>
      </w:pPr>
      <w:r w:rsidRPr="00F41DDA">
        <w:rPr>
          <w:rFonts w:eastAsia="Calibri"/>
          <w:color w:val="333333"/>
          <w:sz w:val="24"/>
          <w:szCs w:val="24"/>
        </w:rPr>
        <w:t>Cl</w:t>
      </w:r>
      <w:r w:rsidRPr="00253C33">
        <w:rPr>
          <w:rFonts w:eastAsia="Calibri"/>
          <w:color w:val="333333"/>
          <w:sz w:val="24"/>
          <w:szCs w:val="24"/>
        </w:rPr>
        <w:t xml:space="preserve">arifying how the Commission might wield its preemption powers would provide greater certainty to all stakeholders regarding the instances when the FCC would consider a petition for preemption to be ripe and when the Commission might act on its own to address a particular issue. This certainty would encourage broadband deployment, respect the sovereignty of the states and local autonomy, and also allow Congress to clearly assess whether it needs to revisit the FCC’s preemption authority. Below follows a potential model for how the FCC might conceptualize and operationalize its preemption authority. </w:t>
      </w:r>
    </w:p>
    <w:p w:rsidR="00507E21" w:rsidRPr="00253C33" w:rsidRDefault="00507E21" w:rsidP="00507E21">
      <w:pPr>
        <w:spacing w:after="0" w:line="240" w:lineRule="auto"/>
        <w:rPr>
          <w:rFonts w:eastAsia="Calibri"/>
          <w:color w:val="333333"/>
          <w:sz w:val="24"/>
          <w:szCs w:val="24"/>
        </w:rPr>
      </w:pPr>
    </w:p>
    <w:p w:rsidR="00507E21" w:rsidRPr="00253C33" w:rsidRDefault="00507E21" w:rsidP="00507E21">
      <w:pPr>
        <w:spacing w:after="0" w:line="240" w:lineRule="auto"/>
        <w:rPr>
          <w:rFonts w:eastAsia="Calibri"/>
          <w:color w:val="333333"/>
          <w:sz w:val="24"/>
          <w:szCs w:val="24"/>
        </w:rPr>
      </w:pPr>
      <w:r w:rsidRPr="00253C33">
        <w:rPr>
          <w:rFonts w:eastAsia="Calibri"/>
          <w:color w:val="333333"/>
          <w:sz w:val="24"/>
          <w:szCs w:val="24"/>
        </w:rPr>
        <w:t>In reviewing how courts and regulators apply general standards (</w:t>
      </w:r>
      <w:r w:rsidRPr="00253C33">
        <w:rPr>
          <w:rFonts w:eastAsia="Calibri"/>
          <w:i/>
          <w:iCs/>
          <w:color w:val="333333"/>
          <w:sz w:val="24"/>
          <w:szCs w:val="24"/>
        </w:rPr>
        <w:t>e.g.</w:t>
      </w:r>
      <w:r w:rsidRPr="00253C33">
        <w:rPr>
          <w:rFonts w:eastAsia="Calibri"/>
          <w:color w:val="333333"/>
          <w:sz w:val="24"/>
          <w:szCs w:val="24"/>
        </w:rPr>
        <w:t xml:space="preserve">, in negligence and antitrust), a spectrum of possible rules is evident: </w:t>
      </w:r>
    </w:p>
    <w:p w:rsidR="00507E21" w:rsidRPr="00253C33" w:rsidRDefault="00507E21" w:rsidP="00507E21">
      <w:pPr>
        <w:numPr>
          <w:ilvl w:val="0"/>
          <w:numId w:val="20"/>
        </w:numPr>
        <w:spacing w:after="0" w:line="240" w:lineRule="auto"/>
        <w:contextualSpacing/>
        <w:rPr>
          <w:rFonts w:eastAsia="Calibri"/>
          <w:color w:val="333333"/>
          <w:sz w:val="24"/>
          <w:szCs w:val="24"/>
        </w:rPr>
      </w:pPr>
      <w:r w:rsidRPr="00253C33">
        <w:rPr>
          <w:rFonts w:eastAsia="Calibri"/>
          <w:b/>
          <w:bCs/>
          <w:i/>
          <w:iCs/>
          <w:color w:val="333333"/>
          <w:sz w:val="24"/>
          <w:szCs w:val="24"/>
        </w:rPr>
        <w:t>Per se</w:t>
      </w:r>
      <w:r w:rsidRPr="00253C33">
        <w:rPr>
          <w:rFonts w:eastAsia="Calibri"/>
          <w:b/>
          <w:bCs/>
          <w:color w:val="333333"/>
          <w:sz w:val="24"/>
          <w:szCs w:val="24"/>
        </w:rPr>
        <w:t xml:space="preserve"> bans</w:t>
      </w:r>
      <w:r w:rsidRPr="00253C33">
        <w:rPr>
          <w:rFonts w:eastAsia="Calibri"/>
          <w:color w:val="333333"/>
          <w:sz w:val="24"/>
          <w:szCs w:val="24"/>
        </w:rPr>
        <w:t xml:space="preserve">: A limited number of practices so egregious that they are declared, </w:t>
      </w:r>
      <w:r w:rsidRPr="00253C33">
        <w:rPr>
          <w:rFonts w:eastAsia="Calibri"/>
          <w:i/>
          <w:iCs/>
          <w:color w:val="333333"/>
          <w:sz w:val="24"/>
          <w:szCs w:val="24"/>
        </w:rPr>
        <w:t>ex ante</w:t>
      </w:r>
      <w:r w:rsidRPr="00253C33">
        <w:rPr>
          <w:rFonts w:eastAsia="Calibri"/>
          <w:color w:val="333333"/>
          <w:sz w:val="24"/>
          <w:szCs w:val="24"/>
        </w:rPr>
        <w:t xml:space="preserve"> (in advance), unlawful </w:t>
      </w:r>
      <w:r w:rsidRPr="00253C33">
        <w:rPr>
          <w:rFonts w:eastAsia="Calibri"/>
          <w:b/>
          <w:bCs/>
          <w:i/>
          <w:iCs/>
          <w:color w:val="333333"/>
          <w:sz w:val="24"/>
          <w:szCs w:val="24"/>
        </w:rPr>
        <w:t>per se</w:t>
      </w:r>
      <w:r w:rsidRPr="00253C33">
        <w:rPr>
          <w:rFonts w:eastAsia="Calibri"/>
          <w:color w:val="333333"/>
          <w:sz w:val="24"/>
          <w:szCs w:val="24"/>
        </w:rPr>
        <w:t xml:space="preserve"> (in themselves);</w:t>
      </w:r>
    </w:p>
    <w:p w:rsidR="00507E21" w:rsidRPr="00253C33" w:rsidRDefault="00507E21" w:rsidP="00507E21">
      <w:pPr>
        <w:numPr>
          <w:ilvl w:val="0"/>
          <w:numId w:val="20"/>
        </w:numPr>
        <w:spacing w:after="0" w:line="240" w:lineRule="auto"/>
        <w:contextualSpacing/>
        <w:rPr>
          <w:rFonts w:eastAsia="Calibri"/>
          <w:color w:val="333333"/>
          <w:sz w:val="24"/>
          <w:szCs w:val="24"/>
        </w:rPr>
      </w:pPr>
      <w:r w:rsidRPr="00253C33">
        <w:rPr>
          <w:rFonts w:eastAsia="Calibri"/>
          <w:b/>
          <w:bCs/>
          <w:color w:val="333333"/>
          <w:sz w:val="24"/>
          <w:szCs w:val="24"/>
        </w:rPr>
        <w:t>Rebuttable presumptions</w:t>
      </w:r>
      <w:r w:rsidRPr="00253C33">
        <w:rPr>
          <w:rFonts w:eastAsia="Calibri"/>
          <w:color w:val="333333"/>
          <w:sz w:val="24"/>
          <w:szCs w:val="24"/>
        </w:rPr>
        <w:t xml:space="preserve"> that less egregious practices might be unlawful but that could be rebutted according to some standard;</w:t>
      </w:r>
    </w:p>
    <w:p w:rsidR="00507E21" w:rsidRPr="00253C33" w:rsidRDefault="00507E21" w:rsidP="00507E21">
      <w:pPr>
        <w:numPr>
          <w:ilvl w:val="0"/>
          <w:numId w:val="20"/>
        </w:numPr>
        <w:spacing w:after="0" w:line="240" w:lineRule="auto"/>
        <w:contextualSpacing/>
        <w:rPr>
          <w:rFonts w:eastAsia="Calibri"/>
          <w:b/>
          <w:bCs/>
          <w:color w:val="333333"/>
          <w:sz w:val="24"/>
          <w:szCs w:val="24"/>
        </w:rPr>
      </w:pPr>
      <w:r w:rsidRPr="00253C33">
        <w:rPr>
          <w:rFonts w:eastAsia="Calibri"/>
          <w:b/>
          <w:bCs/>
          <w:color w:val="333333"/>
          <w:sz w:val="24"/>
          <w:szCs w:val="24"/>
        </w:rPr>
        <w:t xml:space="preserve">A “rule of reason” </w:t>
      </w:r>
      <w:r w:rsidRPr="00253C33">
        <w:rPr>
          <w:rFonts w:eastAsia="Calibri"/>
          <w:color w:val="333333"/>
          <w:sz w:val="24"/>
          <w:szCs w:val="24"/>
        </w:rPr>
        <w:t>governing most issues, usually applied case by case and dependent upon certain defined factors; and</w:t>
      </w:r>
    </w:p>
    <w:p w:rsidR="00507E21" w:rsidRPr="00253C33" w:rsidRDefault="00507E21" w:rsidP="00507E21">
      <w:pPr>
        <w:numPr>
          <w:ilvl w:val="0"/>
          <w:numId w:val="20"/>
        </w:numPr>
        <w:spacing w:after="0" w:line="240" w:lineRule="auto"/>
        <w:contextualSpacing/>
        <w:rPr>
          <w:rFonts w:eastAsia="Calibri"/>
          <w:b/>
          <w:bCs/>
          <w:color w:val="333333"/>
          <w:sz w:val="24"/>
          <w:szCs w:val="24"/>
        </w:rPr>
      </w:pPr>
      <w:r w:rsidRPr="00253C33">
        <w:rPr>
          <w:rFonts w:eastAsia="Calibri"/>
          <w:b/>
          <w:bCs/>
          <w:color w:val="333333"/>
          <w:sz w:val="24"/>
          <w:szCs w:val="24"/>
        </w:rPr>
        <w:t>Safe harbors</w:t>
      </w:r>
      <w:r w:rsidRPr="00253C33">
        <w:rPr>
          <w:rFonts w:eastAsia="Calibri"/>
          <w:color w:val="333333"/>
          <w:sz w:val="24"/>
          <w:szCs w:val="24"/>
        </w:rPr>
        <w:t xml:space="preserve"> that define certain practices as </w:t>
      </w:r>
      <w:r w:rsidRPr="00253C33">
        <w:rPr>
          <w:rFonts w:eastAsia="Calibri"/>
          <w:i/>
          <w:iCs/>
          <w:color w:val="333333"/>
          <w:sz w:val="24"/>
          <w:szCs w:val="24"/>
        </w:rPr>
        <w:t xml:space="preserve">per se </w:t>
      </w:r>
      <w:r w:rsidRPr="00253C33">
        <w:rPr>
          <w:rFonts w:eastAsia="Calibri"/>
          <w:color w:val="333333"/>
          <w:sz w:val="24"/>
          <w:szCs w:val="24"/>
        </w:rPr>
        <w:t>lawful, usually to ensure adoption of some minimum standard of good conduct.</w:t>
      </w:r>
    </w:p>
    <w:p w:rsidR="00507E21" w:rsidRPr="00F41DDA" w:rsidRDefault="00507E21" w:rsidP="00507E21">
      <w:pPr>
        <w:spacing w:after="0" w:line="240" w:lineRule="auto"/>
        <w:ind w:left="720"/>
        <w:contextualSpacing/>
        <w:rPr>
          <w:rFonts w:eastAsia="Calibri"/>
          <w:b/>
          <w:bCs/>
          <w:color w:val="333333"/>
          <w:sz w:val="24"/>
          <w:szCs w:val="24"/>
        </w:rPr>
      </w:pPr>
    </w:p>
    <w:p w:rsidR="00507E21" w:rsidRPr="00253C33" w:rsidRDefault="00507E21" w:rsidP="00507E21">
      <w:pPr>
        <w:spacing w:after="0" w:line="240" w:lineRule="auto"/>
        <w:rPr>
          <w:rFonts w:eastAsia="Calibri"/>
          <w:color w:val="333333"/>
          <w:sz w:val="24"/>
          <w:szCs w:val="24"/>
        </w:rPr>
      </w:pPr>
      <w:r w:rsidRPr="00253C33">
        <w:rPr>
          <w:rFonts w:eastAsia="Calibri"/>
          <w:color w:val="333333"/>
          <w:sz w:val="24"/>
          <w:szCs w:val="24"/>
        </w:rPr>
        <w:t>The same framework could guide the FCC’s thinking on preemption.</w:t>
      </w:r>
    </w:p>
    <w:p w:rsidR="00507E21" w:rsidRPr="00253C33" w:rsidRDefault="00507E21" w:rsidP="00507E21">
      <w:pPr>
        <w:spacing w:after="0" w:line="240" w:lineRule="auto"/>
        <w:rPr>
          <w:rFonts w:eastAsia="Calibri"/>
          <w:b/>
          <w:bCs/>
          <w:color w:val="333333"/>
          <w:sz w:val="24"/>
          <w:szCs w:val="24"/>
        </w:rPr>
      </w:pPr>
    </w:p>
    <w:p w:rsidR="00507E21" w:rsidRPr="00253C33" w:rsidRDefault="00507E21" w:rsidP="00507E21">
      <w:pPr>
        <w:keepNext/>
        <w:keepLines/>
        <w:spacing w:after="0" w:line="240" w:lineRule="auto"/>
        <w:ind w:left="360"/>
        <w:outlineLvl w:val="1"/>
        <w:rPr>
          <w:rFonts w:eastAsia="Times New Roman"/>
          <w:b/>
          <w:bCs/>
          <w:smallCaps/>
          <w:sz w:val="24"/>
          <w:szCs w:val="24"/>
        </w:rPr>
      </w:pPr>
      <w:r w:rsidRPr="00253C33">
        <w:rPr>
          <w:rFonts w:eastAsia="Times New Roman"/>
          <w:b/>
          <w:bCs/>
          <w:smallCaps/>
          <w:sz w:val="24"/>
          <w:szCs w:val="24"/>
        </w:rPr>
        <w:t>Before Contemplating Preemption, Focus on Cooperation, Capacity-Building and Education</w:t>
      </w:r>
    </w:p>
    <w:p w:rsidR="00507E21" w:rsidRPr="00253C33" w:rsidRDefault="00507E21" w:rsidP="00507E21">
      <w:pPr>
        <w:spacing w:after="0" w:line="240" w:lineRule="auto"/>
        <w:ind w:right="720"/>
        <w:rPr>
          <w:rFonts w:eastAsia="Calibri"/>
          <w:color w:val="333333"/>
          <w:sz w:val="24"/>
          <w:szCs w:val="24"/>
        </w:rPr>
      </w:pPr>
      <w:r w:rsidRPr="00F41DDA">
        <w:rPr>
          <w:rFonts w:eastAsia="Calibri"/>
          <w:color w:val="333333"/>
          <w:sz w:val="24"/>
          <w:szCs w:val="24"/>
        </w:rPr>
        <w:t xml:space="preserve">As much as possible, the FCC should explore measures that can avoid the need for preemption. Cooperation with the FCC on </w:t>
      </w:r>
      <w:r w:rsidRPr="00253C33">
        <w:rPr>
          <w:rFonts w:eastAsia="Calibri"/>
          <w:color w:val="333333"/>
          <w:sz w:val="24"/>
          <w:szCs w:val="24"/>
        </w:rPr>
        <w:t>these measures could qualify a government entity for a safe harbor from preemption, while the opposite could weigh negatively in preemption analysis. For example:</w:t>
      </w:r>
    </w:p>
    <w:p w:rsidR="00507E21" w:rsidRPr="00253C33" w:rsidRDefault="00507E21" w:rsidP="00507E21">
      <w:pPr>
        <w:numPr>
          <w:ilvl w:val="0"/>
          <w:numId w:val="22"/>
        </w:numPr>
        <w:spacing w:after="0" w:line="240" w:lineRule="auto"/>
        <w:ind w:left="360" w:right="720"/>
        <w:contextualSpacing/>
        <w:rPr>
          <w:rFonts w:eastAsia="Calibri"/>
          <w:color w:val="333333"/>
          <w:sz w:val="24"/>
          <w:szCs w:val="24"/>
        </w:rPr>
      </w:pPr>
      <w:r w:rsidRPr="00253C33">
        <w:rPr>
          <w:rFonts w:eastAsia="Calibri"/>
          <w:color w:val="333333"/>
          <w:sz w:val="24"/>
          <w:szCs w:val="24"/>
        </w:rPr>
        <w:t>To address existing impediments that arise due to lack of expertise or resources</w:t>
      </w:r>
      <w:r w:rsidRPr="00F41DDA">
        <w:rPr>
          <w:rFonts w:eastAsia="Calibri"/>
          <w:color w:val="333333"/>
          <w:sz w:val="24"/>
          <w:szCs w:val="24"/>
          <w:vertAlign w:val="superscript"/>
        </w:rPr>
        <w:footnoteReference w:id="8"/>
      </w:r>
      <w:r w:rsidRPr="00F41DDA">
        <w:rPr>
          <w:rFonts w:eastAsia="Calibri"/>
          <w:color w:val="333333"/>
          <w:sz w:val="24"/>
          <w:szCs w:val="24"/>
        </w:rPr>
        <w:t xml:space="preserve"> — the FCC, </w:t>
      </w:r>
      <w:r w:rsidRPr="00253C33">
        <w:rPr>
          <w:rFonts w:eastAsia="Calibri"/>
          <w:color w:val="333333"/>
          <w:sz w:val="24"/>
          <w:szCs w:val="24"/>
        </w:rPr>
        <w:t xml:space="preserve">on its own and in partnership with a range of entities, should engage in comprehensive education and outreach activities to make available opportunities for equipping localities and states with the resources needed to make informed decisions and to speed up reviews. Failure by a state or local entity to avail itself of these resources in a timely manner could bolster a case for preemption. </w:t>
      </w:r>
    </w:p>
    <w:p w:rsidR="00507E21" w:rsidRPr="00F41DDA" w:rsidRDefault="00507E21" w:rsidP="00507E21">
      <w:pPr>
        <w:numPr>
          <w:ilvl w:val="0"/>
          <w:numId w:val="22"/>
        </w:numPr>
        <w:spacing w:after="0" w:line="240" w:lineRule="auto"/>
        <w:ind w:left="360" w:right="720"/>
        <w:contextualSpacing/>
        <w:rPr>
          <w:rFonts w:eastAsia="Calibri"/>
          <w:color w:val="333333"/>
          <w:sz w:val="24"/>
          <w:szCs w:val="24"/>
        </w:rPr>
      </w:pPr>
      <w:r w:rsidRPr="00253C33">
        <w:rPr>
          <w:rFonts w:eastAsia="Calibri"/>
          <w:color w:val="333333"/>
          <w:sz w:val="24"/>
          <w:szCs w:val="24"/>
        </w:rPr>
        <w:t xml:space="preserve">To prevent new impediments from arising, service providers and the government entities with which they work to build networks should both commit to improving their practices and how they interact with one another. For example, failure by a service provider to submit complete applications for review could weigh against a future case for preemption. Similarly, failure by a locality to be more transparent in the rates it charges for ROW access </w:t>
      </w:r>
      <w:r>
        <w:rPr>
          <w:rFonts w:eastAsia="Calibri"/>
          <w:color w:val="333333"/>
          <w:sz w:val="24"/>
          <w:szCs w:val="24"/>
        </w:rPr>
        <w:t xml:space="preserve">or to demonstrate that a fee is related to the </w:t>
      </w:r>
      <w:r>
        <w:rPr>
          <w:rFonts w:eastAsia="Calibri"/>
          <w:color w:val="333333"/>
          <w:sz w:val="24"/>
          <w:szCs w:val="24"/>
        </w:rPr>
        <w:lastRenderedPageBreak/>
        <w:t xml:space="preserve">cost of access to ROW </w:t>
      </w:r>
      <w:r w:rsidRPr="00253C33">
        <w:rPr>
          <w:rFonts w:eastAsia="Calibri"/>
          <w:color w:val="333333"/>
          <w:sz w:val="24"/>
          <w:szCs w:val="24"/>
        </w:rPr>
        <w:t>could weigh in favor of preemption. The FCC, in partnership with state and local representatives, could seek to jumpstart such self-improvement by developing more standardized applications and review processes and best practices for being more transparent.</w:t>
      </w:r>
      <w:r w:rsidRPr="00F41DDA">
        <w:rPr>
          <w:rFonts w:eastAsia="Calibri"/>
          <w:color w:val="333333"/>
          <w:sz w:val="24"/>
          <w:szCs w:val="24"/>
          <w:vertAlign w:val="superscript"/>
        </w:rPr>
        <w:footnoteReference w:id="9"/>
      </w:r>
      <w:r w:rsidRPr="00F41DDA">
        <w:rPr>
          <w:rFonts w:eastAsia="Calibri"/>
          <w:color w:val="333333"/>
          <w:sz w:val="24"/>
          <w:szCs w:val="24"/>
        </w:rPr>
        <w:t xml:space="preserve"> </w:t>
      </w:r>
    </w:p>
    <w:p w:rsidR="00507E21" w:rsidRPr="00253C33" w:rsidRDefault="00507E21" w:rsidP="00507E21">
      <w:pPr>
        <w:pStyle w:val="ListParagraph"/>
        <w:numPr>
          <w:ilvl w:val="0"/>
          <w:numId w:val="22"/>
        </w:numPr>
        <w:spacing w:after="0" w:line="240" w:lineRule="auto"/>
        <w:ind w:left="360" w:right="720"/>
        <w:rPr>
          <w:rFonts w:eastAsia="Calibri"/>
          <w:color w:val="333333"/>
          <w:sz w:val="24"/>
          <w:szCs w:val="24"/>
        </w:rPr>
      </w:pPr>
      <w:r w:rsidRPr="00253C33">
        <w:rPr>
          <w:rFonts w:eastAsia="Calibri"/>
          <w:color w:val="333333"/>
          <w:sz w:val="24"/>
          <w:szCs w:val="24"/>
        </w:rPr>
        <w:t xml:space="preserve">Evaluation of applications for collocation on locality-owned vertical infrastructure (e.g. light poles, traffic lights), including refusal to allow attachment to above ground structures in designated mandatory undergrounding areas, for reasons of health, safety, or sound engineering principles, or aesthetic conditions limited to reasonable objective standards (e.g., common shroud or container) might be protected from FCC preemption in a safe harbor — while decisions made for </w:t>
      </w:r>
      <w:r w:rsidRPr="00253C33">
        <w:rPr>
          <w:rFonts w:eastAsia="Calibri"/>
          <w:i/>
          <w:iCs/>
          <w:color w:val="333333"/>
          <w:sz w:val="24"/>
          <w:szCs w:val="24"/>
        </w:rPr>
        <w:t>other</w:t>
      </w:r>
      <w:r w:rsidRPr="00253C33">
        <w:rPr>
          <w:rFonts w:eastAsia="Calibri"/>
          <w:color w:val="333333"/>
          <w:sz w:val="24"/>
          <w:szCs w:val="24"/>
        </w:rPr>
        <w:t xml:space="preserve"> reasons would be presumed unlawful (though that presumption could be rebutted by </w:t>
      </w:r>
      <w:r>
        <w:rPr>
          <w:rFonts w:eastAsia="Calibri"/>
          <w:color w:val="333333"/>
          <w:sz w:val="24"/>
          <w:szCs w:val="24"/>
        </w:rPr>
        <w:t>localities</w:t>
      </w:r>
      <w:r w:rsidRPr="00253C33">
        <w:rPr>
          <w:rFonts w:eastAsia="Calibri"/>
          <w:color w:val="333333"/>
          <w:sz w:val="24"/>
          <w:szCs w:val="24"/>
        </w:rPr>
        <w:t>).</w:t>
      </w:r>
    </w:p>
    <w:p w:rsidR="00507E21" w:rsidRPr="00253C33" w:rsidRDefault="00507E21" w:rsidP="00507E21">
      <w:pPr>
        <w:pStyle w:val="ListParagraph"/>
        <w:spacing w:after="0" w:line="240" w:lineRule="auto"/>
        <w:ind w:right="720"/>
        <w:rPr>
          <w:rFonts w:eastAsia="Calibri"/>
          <w:color w:val="333333"/>
          <w:sz w:val="24"/>
          <w:szCs w:val="24"/>
        </w:rPr>
      </w:pPr>
    </w:p>
    <w:p w:rsidR="00507E21" w:rsidRPr="00253C33" w:rsidRDefault="00507E21" w:rsidP="00507E21">
      <w:pPr>
        <w:keepNext/>
        <w:keepLines/>
        <w:spacing w:after="0" w:line="240" w:lineRule="auto"/>
        <w:ind w:left="360"/>
        <w:outlineLvl w:val="1"/>
        <w:rPr>
          <w:rFonts w:eastAsia="Times New Roman"/>
          <w:b/>
          <w:bCs/>
          <w:sz w:val="24"/>
          <w:szCs w:val="24"/>
        </w:rPr>
      </w:pPr>
      <w:r w:rsidRPr="00253C33">
        <w:rPr>
          <w:rFonts w:eastAsia="Times New Roman"/>
          <w:b/>
          <w:bCs/>
          <w:sz w:val="24"/>
          <w:szCs w:val="24"/>
        </w:rPr>
        <w:t>Preemption as a Last Resort: Dispute Resolution / Escalation Mechanisms Prior to Preemption Petitions</w:t>
      </w:r>
    </w:p>
    <w:p w:rsidR="00507E21" w:rsidRDefault="00507E21" w:rsidP="00507E21">
      <w:pPr>
        <w:spacing w:after="0" w:line="240" w:lineRule="auto"/>
        <w:rPr>
          <w:rFonts w:eastAsia="Calibri"/>
          <w:color w:val="333333"/>
          <w:sz w:val="24"/>
          <w:szCs w:val="24"/>
        </w:rPr>
      </w:pPr>
      <w:r w:rsidRPr="00F41DDA">
        <w:rPr>
          <w:rFonts w:eastAsia="Calibri"/>
          <w:color w:val="333333"/>
          <w:sz w:val="24"/>
          <w:szCs w:val="24"/>
        </w:rPr>
        <w:t xml:space="preserve">In the </w:t>
      </w:r>
      <w:r w:rsidRPr="00253C33">
        <w:rPr>
          <w:rFonts w:eastAsia="Calibri"/>
          <w:color w:val="333333"/>
          <w:sz w:val="24"/>
          <w:szCs w:val="24"/>
        </w:rPr>
        <w:t xml:space="preserve">vast majority of cases where parties fail to reach agreement over ROW access and other parameters impacting broadband deployment, preemption should be a last resort. To govern such cases, the FCC should call for, or adopt, two distinct but related kinds of mechanisms. </w:t>
      </w:r>
    </w:p>
    <w:p w:rsidR="00507E21" w:rsidRDefault="00507E21" w:rsidP="00507E21">
      <w:pPr>
        <w:spacing w:after="0" w:line="240" w:lineRule="auto"/>
        <w:rPr>
          <w:rFonts w:eastAsia="Calibri"/>
          <w:color w:val="333333"/>
          <w:sz w:val="24"/>
          <w:szCs w:val="24"/>
        </w:rPr>
      </w:pPr>
    </w:p>
    <w:p w:rsidR="00507E21" w:rsidRPr="00253C33" w:rsidRDefault="00507E21" w:rsidP="00507E21">
      <w:pPr>
        <w:spacing w:after="0" w:line="240" w:lineRule="auto"/>
        <w:rPr>
          <w:rFonts w:eastAsia="Calibri"/>
          <w:color w:val="333333"/>
          <w:sz w:val="24"/>
          <w:szCs w:val="24"/>
        </w:rPr>
      </w:pPr>
      <w:r w:rsidRPr="00253C33">
        <w:rPr>
          <w:rFonts w:eastAsia="Calibri"/>
          <w:color w:val="333333"/>
          <w:sz w:val="24"/>
          <w:szCs w:val="24"/>
        </w:rPr>
        <w:t xml:space="preserve">The first would be holistic, akin to standards-setting, intended to bring together providers and relevant government agencies in an effort to resolve known issues and determine best or standard practices (which, in turn, might function as safe harbors against FCC preemption. The FCC could provide guidance regarding its preferred approach for how this process might proceed, including information regarding whether and to what extent this is a formal or informal process, who would serve as the arbitrator, burdens and standards of proof, the enforceability of remedies, the appeals process, etc. As an intermediate step, the FCC could encourage state governments to address these issues — </w:t>
      </w:r>
      <w:r w:rsidRPr="00253C33">
        <w:rPr>
          <w:rFonts w:eastAsia="Calibri"/>
          <w:i/>
          <w:iCs/>
          <w:color w:val="333333"/>
          <w:sz w:val="24"/>
          <w:szCs w:val="24"/>
        </w:rPr>
        <w:t xml:space="preserve">e.g., </w:t>
      </w:r>
      <w:r w:rsidRPr="00253C33">
        <w:rPr>
          <w:rFonts w:eastAsia="Calibri"/>
          <w:color w:val="333333"/>
          <w:sz w:val="24"/>
          <w:szCs w:val="24"/>
        </w:rPr>
        <w:t xml:space="preserve">via intervention in an effort to reach a resolution prior to arbitration and legislation to address the issue more broadly across the state (like what is happening in the small cell context). </w:t>
      </w:r>
    </w:p>
    <w:p w:rsidR="00507E21" w:rsidRPr="00253C33" w:rsidRDefault="00507E21" w:rsidP="00507E21">
      <w:pPr>
        <w:spacing w:after="0" w:line="240" w:lineRule="auto"/>
        <w:rPr>
          <w:rFonts w:eastAsia="Calibri"/>
          <w:color w:val="333333"/>
          <w:sz w:val="24"/>
          <w:szCs w:val="24"/>
        </w:rPr>
      </w:pPr>
    </w:p>
    <w:p w:rsidR="00507E21" w:rsidRPr="00253C33" w:rsidRDefault="00507E21" w:rsidP="00507E21">
      <w:pPr>
        <w:spacing w:after="0" w:line="240" w:lineRule="auto"/>
        <w:rPr>
          <w:rFonts w:eastAsia="Calibri"/>
          <w:color w:val="333333"/>
          <w:sz w:val="24"/>
          <w:szCs w:val="24"/>
        </w:rPr>
      </w:pPr>
      <w:r w:rsidRPr="00253C33">
        <w:rPr>
          <w:rFonts w:eastAsia="Calibri"/>
          <w:color w:val="333333"/>
          <w:sz w:val="24"/>
          <w:szCs w:val="24"/>
        </w:rPr>
        <w:t xml:space="preserve">Second, the FCC could use the same or similar fora as mechanisms for resolving </w:t>
      </w:r>
      <w:r w:rsidRPr="00253C33">
        <w:rPr>
          <w:rFonts w:eastAsia="Calibri"/>
          <w:i/>
          <w:iCs/>
          <w:color w:val="333333"/>
          <w:sz w:val="24"/>
          <w:szCs w:val="24"/>
        </w:rPr>
        <w:t>particular</w:t>
      </w:r>
      <w:r w:rsidRPr="00253C33">
        <w:rPr>
          <w:rFonts w:eastAsia="Calibri"/>
          <w:color w:val="333333"/>
          <w:sz w:val="24"/>
          <w:szCs w:val="24"/>
        </w:rPr>
        <w:t xml:space="preserve"> disputes before they reach the FCC. Preemption petitions could be filed with the FCC upon a showing that, despite the best efforts of the parties involved, progress toward an acceptable resolution within a reasonable period of time could not be made. A demonstration of bad faith (</w:t>
      </w:r>
      <w:r w:rsidRPr="00253C33">
        <w:rPr>
          <w:rFonts w:eastAsia="Calibri"/>
          <w:i/>
          <w:iCs/>
          <w:color w:val="333333"/>
          <w:sz w:val="24"/>
          <w:szCs w:val="24"/>
        </w:rPr>
        <w:t xml:space="preserve">e.g., </w:t>
      </w:r>
      <w:r w:rsidRPr="00253C33">
        <w:rPr>
          <w:rFonts w:eastAsia="Calibri"/>
          <w:color w:val="333333"/>
          <w:sz w:val="24"/>
          <w:szCs w:val="24"/>
        </w:rPr>
        <w:t>willful non-cooperation by a party) could trigger action earlier. The FCC should issue guidance regarding how this process would play out (</w:t>
      </w:r>
      <w:r w:rsidRPr="00253C33">
        <w:rPr>
          <w:rFonts w:eastAsia="Calibri"/>
          <w:i/>
          <w:iCs/>
          <w:color w:val="333333"/>
          <w:sz w:val="24"/>
          <w:szCs w:val="24"/>
        </w:rPr>
        <w:t xml:space="preserve">e.g., </w:t>
      </w:r>
      <w:r w:rsidRPr="00253C33">
        <w:rPr>
          <w:rFonts w:eastAsia="Calibri"/>
          <w:color w:val="333333"/>
          <w:sz w:val="24"/>
          <w:szCs w:val="24"/>
        </w:rPr>
        <w:t>in an adjudicatory manner or via a formal rulemaking). This two-fold approach could maximize the agency’s limited resources, minimize intrusion upon state sovereignty, and balance the interests of competing stakeholders. But to be effective, it must be backed up by a credible, clear threat of FCC preemption in appropriate circumstances.</w:t>
      </w:r>
    </w:p>
    <w:p w:rsidR="00507E21" w:rsidRPr="00253C33" w:rsidRDefault="00507E21" w:rsidP="00507E21">
      <w:pPr>
        <w:spacing w:after="0" w:line="240" w:lineRule="auto"/>
        <w:rPr>
          <w:rFonts w:eastAsia="Calibri"/>
          <w:color w:val="333333"/>
          <w:sz w:val="24"/>
          <w:szCs w:val="24"/>
        </w:rPr>
      </w:pPr>
    </w:p>
    <w:p w:rsidR="00507E21" w:rsidRPr="00253C33" w:rsidRDefault="00507E21" w:rsidP="00507E21">
      <w:pPr>
        <w:spacing w:after="0" w:line="240" w:lineRule="auto"/>
        <w:rPr>
          <w:rFonts w:eastAsia="Calibri"/>
          <w:color w:val="333333"/>
          <w:sz w:val="24"/>
          <w:szCs w:val="24"/>
        </w:rPr>
      </w:pPr>
    </w:p>
    <w:p w:rsidR="00507E21" w:rsidRPr="00253C33" w:rsidRDefault="00507E21" w:rsidP="00507E21">
      <w:pPr>
        <w:keepNext/>
        <w:keepLines/>
        <w:spacing w:after="0" w:line="240" w:lineRule="auto"/>
        <w:ind w:left="360"/>
        <w:outlineLvl w:val="1"/>
        <w:rPr>
          <w:rFonts w:eastAsia="Times New Roman"/>
          <w:b/>
          <w:bCs/>
          <w:sz w:val="24"/>
          <w:szCs w:val="24"/>
        </w:rPr>
      </w:pPr>
      <w:r w:rsidRPr="00253C33">
        <w:rPr>
          <w:rFonts w:eastAsia="Times New Roman"/>
          <w:b/>
          <w:bCs/>
          <w:sz w:val="24"/>
          <w:szCs w:val="24"/>
        </w:rPr>
        <w:lastRenderedPageBreak/>
        <w:t xml:space="preserve">Preemption as a First Step: </w:t>
      </w:r>
      <w:r w:rsidRPr="00253C33">
        <w:rPr>
          <w:rFonts w:eastAsia="Times New Roman"/>
          <w:b/>
          <w:bCs/>
          <w:i/>
          <w:iCs/>
          <w:sz w:val="24"/>
          <w:szCs w:val="24"/>
        </w:rPr>
        <w:t>Per Se</w:t>
      </w:r>
      <w:r w:rsidRPr="00253C33">
        <w:rPr>
          <w:rFonts w:eastAsia="Times New Roman"/>
          <w:b/>
          <w:bCs/>
          <w:sz w:val="24"/>
          <w:szCs w:val="24"/>
        </w:rPr>
        <w:t xml:space="preserve"> Bans on Certain Egregious Practices</w:t>
      </w:r>
    </w:p>
    <w:p w:rsidR="00507E21" w:rsidRPr="00253C33" w:rsidRDefault="00507E21" w:rsidP="00507E21">
      <w:pPr>
        <w:spacing w:after="0" w:line="240" w:lineRule="auto"/>
        <w:rPr>
          <w:rFonts w:eastAsia="Calibri"/>
          <w:color w:val="333333"/>
          <w:sz w:val="24"/>
          <w:szCs w:val="24"/>
        </w:rPr>
      </w:pPr>
      <w:r w:rsidRPr="00F41DDA">
        <w:rPr>
          <w:rFonts w:eastAsia="Calibri"/>
          <w:color w:val="333333"/>
          <w:sz w:val="24"/>
          <w:szCs w:val="24"/>
        </w:rPr>
        <w:t xml:space="preserve">Even if preemption is generally the </w:t>
      </w:r>
      <w:r w:rsidRPr="00253C33">
        <w:rPr>
          <w:rFonts w:eastAsia="Calibri"/>
          <w:i/>
          <w:iCs/>
          <w:color w:val="333333"/>
          <w:sz w:val="24"/>
          <w:szCs w:val="24"/>
        </w:rPr>
        <w:t>last</w:t>
      </w:r>
      <w:r w:rsidRPr="00253C33">
        <w:rPr>
          <w:rFonts w:eastAsia="Calibri"/>
          <w:color w:val="333333"/>
          <w:sz w:val="24"/>
          <w:szCs w:val="24"/>
        </w:rPr>
        <w:t xml:space="preserve"> resort, it must </w:t>
      </w:r>
      <w:r w:rsidRPr="00253C33">
        <w:rPr>
          <w:rFonts w:eastAsia="Calibri"/>
          <w:i/>
          <w:iCs/>
          <w:color w:val="333333"/>
          <w:sz w:val="24"/>
          <w:szCs w:val="24"/>
        </w:rPr>
        <w:t>sometimes</w:t>
      </w:r>
      <w:r w:rsidRPr="00253C33">
        <w:rPr>
          <w:rFonts w:eastAsia="Calibri"/>
          <w:color w:val="333333"/>
          <w:sz w:val="24"/>
          <w:szCs w:val="24"/>
        </w:rPr>
        <w:t xml:space="preserve"> be the first resort. Sections 253 and 332 leave it to the Commission to decide what constitutes (i) outright prohibitions on deployment, (ii) effective prohibitions on deployment, and (iii) “unreasonable discrimination” among broadband providers by state and local governments.</w:t>
      </w:r>
      <w:r w:rsidRPr="00253C33" w:rsidDel="00D81152">
        <w:rPr>
          <w:rFonts w:eastAsia="Calibri"/>
          <w:color w:val="333333"/>
          <w:sz w:val="24"/>
          <w:szCs w:val="24"/>
        </w:rPr>
        <w:t xml:space="preserve"> </w:t>
      </w:r>
      <w:r w:rsidRPr="00253C33">
        <w:rPr>
          <w:rFonts w:eastAsia="Calibri"/>
          <w:color w:val="333333"/>
          <w:sz w:val="24"/>
          <w:szCs w:val="24"/>
        </w:rPr>
        <w:t xml:space="preserve">The first two clearly contemplate both outright moratoria and </w:t>
      </w:r>
      <w:r w:rsidRPr="00253C33">
        <w:rPr>
          <w:rFonts w:eastAsia="Calibri"/>
          <w:i/>
          <w:iCs/>
          <w:color w:val="333333"/>
          <w:sz w:val="24"/>
          <w:szCs w:val="24"/>
        </w:rPr>
        <w:t xml:space="preserve">de facto </w:t>
      </w:r>
      <w:r w:rsidRPr="00253C33">
        <w:rPr>
          <w:rFonts w:eastAsia="Calibri"/>
          <w:color w:val="333333"/>
          <w:sz w:val="24"/>
          <w:szCs w:val="24"/>
        </w:rPr>
        <w:t>moratoria</w:t>
      </w:r>
      <w:r>
        <w:rPr>
          <w:rFonts w:eastAsia="Calibri"/>
          <w:color w:val="333333"/>
          <w:sz w:val="24"/>
          <w:szCs w:val="24"/>
        </w:rPr>
        <w:t xml:space="preserve">, </w:t>
      </w:r>
      <w:r w:rsidRPr="00253C33">
        <w:rPr>
          <w:rFonts w:eastAsia="Calibri"/>
          <w:color w:val="333333"/>
          <w:sz w:val="24"/>
          <w:szCs w:val="24"/>
        </w:rPr>
        <w:t xml:space="preserve">while the third contemplates, at a minimum, patterns of actions or inactions that unnecessarily slow deployment or raise the costs associated with it for certain categories of providers relative to others. </w:t>
      </w:r>
    </w:p>
    <w:p w:rsidR="00507E21" w:rsidRPr="00253C33" w:rsidRDefault="00507E21" w:rsidP="00507E21">
      <w:pPr>
        <w:spacing w:after="0" w:line="240" w:lineRule="auto"/>
        <w:rPr>
          <w:rFonts w:eastAsia="Calibri"/>
          <w:color w:val="333333"/>
          <w:sz w:val="24"/>
          <w:szCs w:val="24"/>
        </w:rPr>
      </w:pPr>
    </w:p>
    <w:p w:rsidR="00507E21" w:rsidRPr="00253C33" w:rsidRDefault="00507E21" w:rsidP="00507E21">
      <w:pPr>
        <w:spacing w:after="0" w:line="240" w:lineRule="auto"/>
        <w:rPr>
          <w:rFonts w:eastAsia="Calibri"/>
          <w:color w:val="333333"/>
          <w:sz w:val="24"/>
          <w:szCs w:val="24"/>
        </w:rPr>
      </w:pPr>
      <w:r w:rsidRPr="00253C33">
        <w:rPr>
          <w:rFonts w:eastAsia="Calibri"/>
          <w:color w:val="333333"/>
          <w:sz w:val="24"/>
          <w:szCs w:val="24"/>
        </w:rPr>
        <w:t xml:space="preserve">In extreme cases, a </w:t>
      </w:r>
      <w:r w:rsidRPr="00253C33">
        <w:rPr>
          <w:rFonts w:eastAsia="Calibri"/>
          <w:i/>
          <w:iCs/>
          <w:color w:val="333333"/>
          <w:sz w:val="24"/>
          <w:szCs w:val="24"/>
        </w:rPr>
        <w:t>per se</w:t>
      </w:r>
      <w:r w:rsidRPr="00253C33">
        <w:rPr>
          <w:rFonts w:eastAsia="Calibri"/>
          <w:color w:val="333333"/>
          <w:sz w:val="24"/>
          <w:szCs w:val="24"/>
        </w:rPr>
        <w:t xml:space="preserve"> ban on such practices may be appropriate — to ensure that such practices cease completely and deny states and localities the opportunity of attempting to justify the practice in a particular case. A </w:t>
      </w:r>
      <w:r w:rsidRPr="00253C33">
        <w:rPr>
          <w:rFonts w:eastAsia="Calibri"/>
          <w:i/>
          <w:iCs/>
          <w:color w:val="333333"/>
          <w:sz w:val="24"/>
          <w:szCs w:val="24"/>
        </w:rPr>
        <w:t>per se</w:t>
      </w:r>
      <w:r w:rsidRPr="00253C33">
        <w:rPr>
          <w:rFonts w:eastAsia="Calibri"/>
          <w:color w:val="333333"/>
          <w:sz w:val="24"/>
          <w:szCs w:val="24"/>
        </w:rPr>
        <w:t xml:space="preserve"> ban is justified only when we are so certain that the practice is inherently harmful that litigating about particular instances is not worth the cost involved and uncertainty created by leaving the door open to such practices.</w:t>
      </w:r>
    </w:p>
    <w:p w:rsidR="00507E21" w:rsidRPr="00253C33" w:rsidRDefault="00507E21" w:rsidP="00507E21">
      <w:pPr>
        <w:spacing w:after="0" w:line="240" w:lineRule="auto"/>
        <w:ind w:left="720"/>
        <w:contextualSpacing/>
        <w:rPr>
          <w:rFonts w:eastAsia="Calibri"/>
          <w:color w:val="333333"/>
          <w:sz w:val="24"/>
          <w:szCs w:val="24"/>
        </w:rPr>
      </w:pPr>
    </w:p>
    <w:p w:rsidR="00507E21" w:rsidRPr="00253C33" w:rsidRDefault="00507E21" w:rsidP="00507E21">
      <w:pPr>
        <w:keepNext/>
        <w:keepLines/>
        <w:spacing w:after="0" w:line="240" w:lineRule="auto"/>
        <w:ind w:left="360"/>
        <w:outlineLvl w:val="1"/>
        <w:rPr>
          <w:rFonts w:eastAsia="Times New Roman"/>
          <w:b/>
          <w:bCs/>
          <w:sz w:val="24"/>
          <w:szCs w:val="24"/>
        </w:rPr>
      </w:pPr>
      <w:r w:rsidRPr="00253C33">
        <w:rPr>
          <w:rFonts w:eastAsia="Times New Roman"/>
          <w:b/>
          <w:bCs/>
          <w:sz w:val="24"/>
          <w:szCs w:val="24"/>
        </w:rPr>
        <w:t>Rebuttable Presumptions</w:t>
      </w:r>
    </w:p>
    <w:p w:rsidR="00507E21" w:rsidRPr="00253C33" w:rsidRDefault="00507E21" w:rsidP="00507E21">
      <w:pPr>
        <w:spacing w:after="0" w:line="240" w:lineRule="auto"/>
        <w:rPr>
          <w:rFonts w:eastAsia="Calibri"/>
          <w:color w:val="333333"/>
          <w:sz w:val="24"/>
          <w:szCs w:val="24"/>
        </w:rPr>
      </w:pPr>
      <w:r w:rsidRPr="00F41DDA">
        <w:rPr>
          <w:rFonts w:eastAsia="Calibri"/>
          <w:color w:val="333333"/>
          <w:sz w:val="24"/>
          <w:szCs w:val="24"/>
        </w:rPr>
        <w:t xml:space="preserve">More flexible than a </w:t>
      </w:r>
      <w:r w:rsidRPr="00253C33">
        <w:rPr>
          <w:rFonts w:eastAsia="Calibri"/>
          <w:i/>
          <w:iCs/>
          <w:color w:val="333333"/>
          <w:sz w:val="24"/>
          <w:szCs w:val="24"/>
        </w:rPr>
        <w:t>per se</w:t>
      </w:r>
      <w:r w:rsidRPr="00253C33">
        <w:rPr>
          <w:rFonts w:eastAsia="Calibri"/>
          <w:color w:val="333333"/>
          <w:sz w:val="24"/>
          <w:szCs w:val="24"/>
        </w:rPr>
        <w:t xml:space="preserve"> ban is a rebuttable presumption, which a state or locality would have the opportunity to rebut. Into this category should fall practices which are generally harmful on net. </w:t>
      </w:r>
    </w:p>
    <w:p w:rsidR="00507E21" w:rsidRPr="00253C33" w:rsidRDefault="00507E21" w:rsidP="00507E21">
      <w:pPr>
        <w:spacing w:after="0" w:line="240" w:lineRule="auto"/>
        <w:rPr>
          <w:rFonts w:eastAsia="Calibri"/>
          <w:color w:val="333333"/>
          <w:sz w:val="24"/>
          <w:szCs w:val="24"/>
        </w:rPr>
      </w:pPr>
    </w:p>
    <w:p w:rsidR="00507E21" w:rsidRPr="00253C33" w:rsidRDefault="00507E21" w:rsidP="00507E21">
      <w:pPr>
        <w:spacing w:after="0" w:line="240" w:lineRule="auto"/>
        <w:rPr>
          <w:rFonts w:eastAsia="Times New Roman"/>
          <w:sz w:val="24"/>
          <w:szCs w:val="24"/>
        </w:rPr>
      </w:pPr>
      <w:r w:rsidRPr="00253C33">
        <w:rPr>
          <w:rFonts w:eastAsia="Times New Roman"/>
          <w:sz w:val="24"/>
          <w:szCs w:val="24"/>
        </w:rPr>
        <w:t xml:space="preserve">Because the stakeholders engaged in broadband deployment operate according to different motivations and incentives, there will likely be disagreement over the scope of activities that ought to be considered </w:t>
      </w:r>
      <w:r w:rsidRPr="00253C33">
        <w:rPr>
          <w:rFonts w:eastAsia="Times New Roman"/>
          <w:i/>
          <w:iCs/>
          <w:sz w:val="24"/>
          <w:szCs w:val="24"/>
        </w:rPr>
        <w:t xml:space="preserve">per se </w:t>
      </w:r>
      <w:r w:rsidRPr="00253C33">
        <w:rPr>
          <w:rFonts w:eastAsia="Times New Roman"/>
          <w:sz w:val="24"/>
          <w:szCs w:val="24"/>
        </w:rPr>
        <w:t xml:space="preserve">bans. Indeed, it would behoove ISPs to argue for a broader conception of such actions than the government entities with whom they must work to access ROWs. Conversely, government entities would argue for a much narrower conception in an effort to preserve as much autonomy as possible when it comes to negotiating with their counterparts in the private sector. As such, disagreements on the margins of the </w:t>
      </w:r>
      <w:r w:rsidRPr="00253C33">
        <w:rPr>
          <w:rFonts w:eastAsia="Times New Roman"/>
          <w:i/>
          <w:iCs/>
          <w:sz w:val="24"/>
          <w:szCs w:val="24"/>
        </w:rPr>
        <w:t>per se</w:t>
      </w:r>
      <w:r w:rsidRPr="00253C33">
        <w:rPr>
          <w:rFonts w:eastAsia="Times New Roman"/>
          <w:sz w:val="24"/>
          <w:szCs w:val="24"/>
        </w:rPr>
        <w:t xml:space="preserve"> standard are inevitable. This could be compounded by the fact that different providers will view the same set of criteria for ROW access differently: provider A might deem a particular request or requirement reasonable, while provider B might not.</w:t>
      </w:r>
      <w:r w:rsidRPr="00F41DDA">
        <w:rPr>
          <w:rFonts w:eastAsia="Times New Roman"/>
          <w:sz w:val="24"/>
          <w:szCs w:val="24"/>
          <w:vertAlign w:val="superscript"/>
        </w:rPr>
        <w:footnoteReference w:id="10"/>
      </w:r>
      <w:r w:rsidRPr="00F41DDA">
        <w:rPr>
          <w:rFonts w:eastAsia="Times New Roman"/>
          <w:sz w:val="24"/>
          <w:szCs w:val="24"/>
        </w:rPr>
        <w:t xml:space="preserve"> </w:t>
      </w:r>
    </w:p>
    <w:p w:rsidR="00507E21" w:rsidRPr="00253C33" w:rsidRDefault="00507E21" w:rsidP="00507E21">
      <w:pPr>
        <w:spacing w:after="0" w:line="240" w:lineRule="auto"/>
        <w:ind w:left="720"/>
        <w:rPr>
          <w:rFonts w:eastAsia="Times New Roman"/>
          <w:sz w:val="24"/>
          <w:szCs w:val="24"/>
        </w:rPr>
      </w:pPr>
    </w:p>
    <w:p w:rsidR="00507E21" w:rsidRPr="00253C33" w:rsidRDefault="00507E21" w:rsidP="00507E21">
      <w:pPr>
        <w:spacing w:after="0" w:line="240" w:lineRule="auto"/>
        <w:rPr>
          <w:rFonts w:eastAsia="Times New Roman"/>
          <w:sz w:val="24"/>
          <w:szCs w:val="24"/>
        </w:rPr>
      </w:pPr>
      <w:r w:rsidRPr="00253C33">
        <w:rPr>
          <w:rFonts w:eastAsia="Times New Roman"/>
          <w:sz w:val="24"/>
          <w:szCs w:val="24"/>
        </w:rPr>
        <w:t xml:space="preserve">To resolve such cases, the FCC should develop a dispute resolution process that includes rebuttable presumptions about these kinds of marginal activities. This process would play out as an intermediate step that must be completed prior to filing a formal petition for preemption. The party alleging that a particular action ought to be considered a </w:t>
      </w:r>
      <w:r w:rsidRPr="00253C33">
        <w:rPr>
          <w:rFonts w:eastAsia="Times New Roman"/>
          <w:i/>
          <w:iCs/>
          <w:sz w:val="24"/>
          <w:szCs w:val="24"/>
        </w:rPr>
        <w:t xml:space="preserve">per se </w:t>
      </w:r>
      <w:r w:rsidRPr="00253C33">
        <w:rPr>
          <w:rFonts w:eastAsia="Times New Roman"/>
          <w:sz w:val="24"/>
          <w:szCs w:val="24"/>
        </w:rPr>
        <w:t xml:space="preserve">ban would have the initial burden of offering evidence demonstrating that the alleged action rises to the level of a </w:t>
      </w:r>
      <w:r w:rsidRPr="00253C33">
        <w:rPr>
          <w:rFonts w:eastAsia="Times New Roman"/>
          <w:i/>
          <w:iCs/>
          <w:sz w:val="24"/>
          <w:szCs w:val="24"/>
        </w:rPr>
        <w:t xml:space="preserve">per se </w:t>
      </w:r>
      <w:r w:rsidRPr="00253C33">
        <w:rPr>
          <w:rFonts w:eastAsia="Times New Roman"/>
          <w:sz w:val="24"/>
          <w:szCs w:val="24"/>
        </w:rPr>
        <w:t>ban</w:t>
      </w:r>
      <w:r w:rsidRPr="00253C33">
        <w:rPr>
          <w:rFonts w:eastAsia="Times New Roman"/>
          <w:i/>
          <w:iCs/>
          <w:sz w:val="24"/>
          <w:szCs w:val="24"/>
        </w:rPr>
        <w:t>.</w:t>
      </w:r>
      <w:r w:rsidRPr="00253C33">
        <w:rPr>
          <w:rFonts w:eastAsia="Times New Roman"/>
          <w:sz w:val="24"/>
          <w:szCs w:val="24"/>
        </w:rPr>
        <w:t xml:space="preserve"> After that point, the burden would shift to the other party to demonstrate that the action is reasonable or otherwise not rising to the level of a </w:t>
      </w:r>
      <w:r w:rsidRPr="00253C33">
        <w:rPr>
          <w:rFonts w:eastAsia="Times New Roman"/>
          <w:i/>
          <w:iCs/>
          <w:sz w:val="24"/>
          <w:szCs w:val="24"/>
        </w:rPr>
        <w:t xml:space="preserve">per se </w:t>
      </w:r>
      <w:r w:rsidRPr="00253C33">
        <w:rPr>
          <w:rFonts w:eastAsia="Times New Roman"/>
          <w:sz w:val="24"/>
          <w:szCs w:val="24"/>
        </w:rPr>
        <w:t xml:space="preserve">ban. In every case, the parties should be encouraged to engage in the activities discussed in the next section in an effort to resolve the impasse without resorting to preemption. </w:t>
      </w:r>
    </w:p>
    <w:p w:rsidR="00507E21" w:rsidRPr="00253C33" w:rsidRDefault="00507E21" w:rsidP="00507E21">
      <w:pPr>
        <w:spacing w:after="0" w:line="240" w:lineRule="auto"/>
        <w:rPr>
          <w:rFonts w:eastAsia="Calibri"/>
          <w:color w:val="333333"/>
          <w:sz w:val="24"/>
          <w:szCs w:val="24"/>
        </w:rPr>
      </w:pPr>
    </w:p>
    <w:p w:rsidR="00507E21" w:rsidRPr="00253C33" w:rsidRDefault="00507E21" w:rsidP="00507E21">
      <w:pPr>
        <w:spacing w:after="0" w:line="240" w:lineRule="auto"/>
        <w:rPr>
          <w:rFonts w:eastAsia="Calibri"/>
          <w:color w:val="333333"/>
          <w:sz w:val="24"/>
          <w:szCs w:val="24"/>
        </w:rPr>
      </w:pPr>
      <w:r w:rsidRPr="00253C33">
        <w:rPr>
          <w:rFonts w:eastAsia="Calibri"/>
          <w:color w:val="333333"/>
          <w:sz w:val="24"/>
          <w:szCs w:val="24"/>
        </w:rPr>
        <w:t xml:space="preserve">Ultimately, attempting to articulate a list of such practices might be counterproductive since it will inevitably be incomplete. As such, it will be incumbent upon the FCC to develop standards for evaluating actions or inactions that might, in practice, operate as “effective prohibitions” or be unreasonably discriminatory. The following attempts to frame out how the FCC might go about establishing these kinds of standards. </w:t>
      </w:r>
    </w:p>
    <w:p w:rsidR="00507E21" w:rsidRPr="00253C33" w:rsidRDefault="00507E21" w:rsidP="00507E21">
      <w:pPr>
        <w:spacing w:after="0" w:line="240" w:lineRule="auto"/>
        <w:rPr>
          <w:rFonts w:eastAsia="Calibri"/>
          <w:color w:val="333333"/>
          <w:sz w:val="24"/>
          <w:szCs w:val="24"/>
        </w:rPr>
      </w:pPr>
    </w:p>
    <w:p w:rsidR="00507E21" w:rsidRPr="00253C33" w:rsidRDefault="00507E21" w:rsidP="00507E21">
      <w:pPr>
        <w:keepNext/>
        <w:keepLines/>
        <w:spacing w:after="0" w:line="240" w:lineRule="auto"/>
        <w:ind w:left="360"/>
        <w:outlineLvl w:val="1"/>
        <w:rPr>
          <w:rFonts w:eastAsia="Times New Roman"/>
          <w:b/>
          <w:bCs/>
          <w:sz w:val="24"/>
          <w:szCs w:val="24"/>
        </w:rPr>
      </w:pPr>
      <w:r w:rsidRPr="00253C33">
        <w:rPr>
          <w:rFonts w:eastAsia="Times New Roman"/>
          <w:b/>
          <w:bCs/>
          <w:sz w:val="24"/>
          <w:szCs w:val="24"/>
        </w:rPr>
        <w:t>A Standard for Evaluating “Effective Prohibitions”</w:t>
      </w:r>
    </w:p>
    <w:p w:rsidR="00507E21" w:rsidRPr="00253C33" w:rsidRDefault="00507E21" w:rsidP="00507E21">
      <w:pPr>
        <w:spacing w:after="0" w:line="240" w:lineRule="auto"/>
        <w:rPr>
          <w:rFonts w:eastAsia="Calibri"/>
          <w:color w:val="333333"/>
          <w:sz w:val="24"/>
          <w:szCs w:val="24"/>
        </w:rPr>
      </w:pPr>
      <w:r w:rsidRPr="00F41DDA">
        <w:rPr>
          <w:rFonts w:eastAsia="Calibri"/>
          <w:color w:val="333333"/>
          <w:sz w:val="24"/>
          <w:szCs w:val="24"/>
        </w:rPr>
        <w:t xml:space="preserve">When attempting to set a standard for evaluating what activities constitute “effective prohibitions,” both on a case-by-case basis under a rule of reason and in deciding which practices merit </w:t>
      </w:r>
      <w:r w:rsidRPr="00253C33">
        <w:rPr>
          <w:rFonts w:eastAsia="Calibri"/>
          <w:i/>
          <w:iCs/>
          <w:color w:val="333333"/>
          <w:sz w:val="24"/>
          <w:szCs w:val="24"/>
        </w:rPr>
        <w:t xml:space="preserve">per </w:t>
      </w:r>
      <w:r w:rsidRPr="00253C33">
        <w:rPr>
          <w:rFonts w:eastAsia="Calibri"/>
          <w:color w:val="333333"/>
          <w:sz w:val="24"/>
          <w:szCs w:val="24"/>
        </w:rPr>
        <w:t xml:space="preserve">se bans or rebuttable presumptions </w:t>
      </w:r>
      <w:r w:rsidRPr="00253C33">
        <w:rPr>
          <w:rFonts w:eastAsia="Calibri"/>
          <w:i/>
          <w:iCs/>
          <w:color w:val="333333"/>
          <w:sz w:val="24"/>
          <w:szCs w:val="24"/>
        </w:rPr>
        <w:t xml:space="preserve">ex ante, </w:t>
      </w:r>
      <w:r w:rsidRPr="00253C33">
        <w:rPr>
          <w:rFonts w:eastAsia="Calibri"/>
          <w:color w:val="333333"/>
          <w:sz w:val="24"/>
          <w:szCs w:val="24"/>
        </w:rPr>
        <w:t xml:space="preserve">the FCC’s analysis should include the following:  </w:t>
      </w:r>
    </w:p>
    <w:p w:rsidR="00507E21" w:rsidRPr="00F41DDA" w:rsidRDefault="00507E21" w:rsidP="00507E21">
      <w:pPr>
        <w:numPr>
          <w:ilvl w:val="0"/>
          <w:numId w:val="21"/>
        </w:numPr>
        <w:spacing w:after="0" w:line="240" w:lineRule="auto"/>
        <w:ind w:left="360"/>
        <w:contextualSpacing/>
        <w:rPr>
          <w:rFonts w:eastAsia="Calibri"/>
          <w:color w:val="333333"/>
          <w:sz w:val="24"/>
          <w:szCs w:val="24"/>
        </w:rPr>
      </w:pPr>
      <w:r w:rsidRPr="00253C33">
        <w:rPr>
          <w:rFonts w:eastAsia="Calibri"/>
          <w:b/>
          <w:bCs/>
          <w:color w:val="333333"/>
          <w:sz w:val="24"/>
          <w:szCs w:val="24"/>
        </w:rPr>
        <w:t>Economic Analysis</w:t>
      </w:r>
      <w:r w:rsidRPr="00253C33">
        <w:rPr>
          <w:rFonts w:eastAsia="Calibri"/>
          <w:color w:val="333333"/>
          <w:sz w:val="24"/>
          <w:szCs w:val="24"/>
        </w:rPr>
        <w:t>. Broadband providers and those with whom they negotiate for ROW access have competing economic interests: providers wish to build networks as cheaply as possible, while many of those setting the fees for critical ROWs oftentimes wish to maximize their return on making those assets available. Balancing these interests is difficult since both are, at bottom, rational. However, in the context of hastening broadband deployment, there are practices that can render deployment in certain areas uneconomic.</w:t>
      </w:r>
      <w:r w:rsidRPr="00F41DDA">
        <w:rPr>
          <w:rFonts w:eastAsia="Calibri"/>
          <w:color w:val="333333"/>
          <w:sz w:val="24"/>
          <w:szCs w:val="24"/>
          <w:vertAlign w:val="superscript"/>
        </w:rPr>
        <w:footnoteReference w:id="11"/>
      </w:r>
      <w:r w:rsidRPr="00F41DDA">
        <w:rPr>
          <w:rFonts w:eastAsia="Calibri"/>
          <w:color w:val="333333"/>
          <w:sz w:val="24"/>
          <w:szCs w:val="24"/>
        </w:rPr>
        <w:t xml:space="preserve"> Consequently, it will be incumbent upon the FCC’s new Office of Economics and Data to examine how two critical economic principles operate in the broadband deployment context:</w:t>
      </w:r>
    </w:p>
    <w:p w:rsidR="00507E21" w:rsidRPr="00253C33" w:rsidRDefault="00507E21" w:rsidP="00507E21">
      <w:pPr>
        <w:numPr>
          <w:ilvl w:val="1"/>
          <w:numId w:val="24"/>
        </w:numPr>
        <w:spacing w:after="0" w:line="240" w:lineRule="auto"/>
        <w:ind w:left="720"/>
        <w:contextualSpacing/>
        <w:rPr>
          <w:rFonts w:eastAsia="Calibri"/>
          <w:color w:val="333333"/>
          <w:sz w:val="24"/>
          <w:szCs w:val="24"/>
        </w:rPr>
      </w:pPr>
      <w:r w:rsidRPr="00253C33">
        <w:rPr>
          <w:rFonts w:eastAsia="Calibri"/>
          <w:b/>
          <w:bCs/>
          <w:color w:val="333333"/>
          <w:sz w:val="24"/>
          <w:szCs w:val="24"/>
        </w:rPr>
        <w:t>Marginal effect</w:t>
      </w:r>
      <w:r w:rsidRPr="00253C33">
        <w:rPr>
          <w:rFonts w:eastAsia="Calibri"/>
          <w:color w:val="333333"/>
          <w:sz w:val="24"/>
          <w:szCs w:val="24"/>
        </w:rPr>
        <w:t>. The question of deploying service is, in economic terms, always one made at the margin. The average effects are irrelevant. The question to be asked is: How do certain practices impact the marginal cost of building out network components?</w:t>
      </w:r>
    </w:p>
    <w:p w:rsidR="00507E21" w:rsidRPr="00253C33" w:rsidRDefault="00507E21" w:rsidP="00507E21">
      <w:pPr>
        <w:numPr>
          <w:ilvl w:val="1"/>
          <w:numId w:val="24"/>
        </w:numPr>
        <w:spacing w:after="0" w:line="240" w:lineRule="auto"/>
        <w:ind w:left="720"/>
        <w:contextualSpacing/>
        <w:rPr>
          <w:rFonts w:eastAsia="Calibri"/>
          <w:color w:val="333333"/>
          <w:sz w:val="24"/>
          <w:szCs w:val="24"/>
        </w:rPr>
      </w:pPr>
      <w:r w:rsidRPr="00253C33">
        <w:rPr>
          <w:rFonts w:eastAsia="Calibri"/>
          <w:b/>
          <w:bCs/>
          <w:color w:val="333333"/>
          <w:sz w:val="24"/>
          <w:szCs w:val="24"/>
        </w:rPr>
        <w:t>Opportunity cost</w:t>
      </w:r>
      <w:r w:rsidRPr="00253C33">
        <w:rPr>
          <w:rFonts w:eastAsia="Calibri"/>
          <w:color w:val="333333"/>
          <w:sz w:val="24"/>
          <w:szCs w:val="24"/>
        </w:rPr>
        <w:t>. Any increased costs of deployment caused by an action that makes deployment uneconomic or inordinately expensive in a certain area will likely deflect available resources that could otherwise have been spent on deployment. The FCC needs an economic model for evaluating such effects.</w:t>
      </w:r>
    </w:p>
    <w:p w:rsidR="00507E21" w:rsidRPr="00F41DDA" w:rsidRDefault="00507E21" w:rsidP="00507E21">
      <w:pPr>
        <w:numPr>
          <w:ilvl w:val="0"/>
          <w:numId w:val="21"/>
        </w:numPr>
        <w:spacing w:after="0" w:line="240" w:lineRule="auto"/>
        <w:ind w:left="360"/>
        <w:contextualSpacing/>
        <w:rPr>
          <w:rFonts w:eastAsia="Calibri"/>
          <w:color w:val="333333"/>
          <w:sz w:val="24"/>
          <w:szCs w:val="24"/>
        </w:rPr>
      </w:pPr>
      <w:r w:rsidRPr="00253C33">
        <w:rPr>
          <w:rFonts w:eastAsia="Calibri"/>
          <w:b/>
          <w:bCs/>
          <w:color w:val="333333"/>
          <w:sz w:val="24"/>
          <w:szCs w:val="24"/>
        </w:rPr>
        <w:t>Geographic effects</w:t>
      </w:r>
      <w:r w:rsidRPr="00253C33">
        <w:rPr>
          <w:rFonts w:eastAsia="Calibri"/>
          <w:color w:val="333333"/>
          <w:sz w:val="24"/>
          <w:szCs w:val="24"/>
        </w:rPr>
        <w:t xml:space="preserve">. Effective prohibition can occur on a sub-municipality level. For example, a particular action by a municipality could “effectively prohibit” provision of service only to a small area — </w:t>
      </w:r>
      <w:r w:rsidRPr="00253C33">
        <w:rPr>
          <w:rFonts w:eastAsia="Calibri"/>
          <w:i/>
          <w:iCs/>
          <w:color w:val="333333"/>
          <w:sz w:val="24"/>
          <w:szCs w:val="24"/>
        </w:rPr>
        <w:t xml:space="preserve">e.g., </w:t>
      </w:r>
      <w:r w:rsidRPr="00253C33">
        <w:rPr>
          <w:rFonts w:eastAsia="Calibri"/>
          <w:color w:val="333333"/>
          <w:sz w:val="24"/>
          <w:szCs w:val="24"/>
        </w:rPr>
        <w:t>5% of a municipality — leaving those particular consumers unserved, or underserved. In these instances, FCC preemption might be most appropriate because the political decision-making process may systematically undervalue the needs of these consumers for connectivity.</w:t>
      </w:r>
      <w:r w:rsidRPr="00F41DDA">
        <w:rPr>
          <w:rFonts w:eastAsia="Calibri"/>
          <w:color w:val="333333"/>
          <w:sz w:val="24"/>
          <w:szCs w:val="24"/>
          <w:vertAlign w:val="superscript"/>
        </w:rPr>
        <w:footnoteReference w:id="12"/>
      </w:r>
      <w:r w:rsidRPr="00F41DDA">
        <w:rPr>
          <w:rFonts w:eastAsia="Calibri"/>
          <w:color w:val="333333"/>
          <w:sz w:val="24"/>
          <w:szCs w:val="24"/>
        </w:rPr>
        <w:t xml:space="preserve"> As such, the Commission might explore whether to distinguish between (1) practices that make deployment </w:t>
      </w:r>
      <w:r w:rsidRPr="00253C33">
        <w:rPr>
          <w:rFonts w:eastAsia="Calibri"/>
          <w:color w:val="333333"/>
          <w:sz w:val="24"/>
          <w:szCs w:val="24"/>
        </w:rPr>
        <w:t xml:space="preserve">to a specific area impractical and (2) practices that make an entire planned deployment sufficiently more expensive that it has to be shrunk, leaving some areas unserved. </w:t>
      </w:r>
    </w:p>
    <w:p w:rsidR="00507E21" w:rsidRPr="00253C33" w:rsidRDefault="00507E21" w:rsidP="00507E21">
      <w:pPr>
        <w:numPr>
          <w:ilvl w:val="0"/>
          <w:numId w:val="21"/>
        </w:numPr>
        <w:spacing w:after="0" w:line="240" w:lineRule="auto"/>
        <w:ind w:left="360"/>
        <w:contextualSpacing/>
        <w:rPr>
          <w:rFonts w:eastAsia="Calibri"/>
          <w:color w:val="333333"/>
          <w:sz w:val="24"/>
          <w:szCs w:val="24"/>
        </w:rPr>
      </w:pPr>
      <w:r w:rsidRPr="00253C33">
        <w:rPr>
          <w:rFonts w:eastAsia="Calibri"/>
          <w:b/>
          <w:bCs/>
          <w:color w:val="333333"/>
          <w:sz w:val="24"/>
          <w:szCs w:val="24"/>
        </w:rPr>
        <w:t>Network Upgrades</w:t>
      </w:r>
      <w:r w:rsidRPr="00253C33">
        <w:rPr>
          <w:rFonts w:eastAsia="Calibri"/>
          <w:color w:val="333333"/>
          <w:sz w:val="24"/>
          <w:szCs w:val="24"/>
        </w:rPr>
        <w:t xml:space="preserve">. Communications networks are not static; their deployment is generally an iterative process. The FCC will have to decide how to use its preemption authority not </w:t>
      </w:r>
      <w:r w:rsidRPr="00253C33">
        <w:rPr>
          <w:rFonts w:eastAsia="Calibri"/>
          <w:color w:val="333333"/>
          <w:sz w:val="24"/>
          <w:szCs w:val="24"/>
        </w:rPr>
        <w:lastRenderedPageBreak/>
        <w:t>only over practices that may “effectively prohibit” deployment of entirely new networks, but also the deployment of upgrades to already existing networks. As with geographic effects, the FCC’s analysis should focus on the nature and quality of services provided to consumers. Ideally, this analysis would measure all services provided to consumers (but, as noted above, undoing reclassification may constrain the FCC’s preemption powers because the agency will have to focus on those services that remain telecommunications services).</w:t>
      </w:r>
    </w:p>
    <w:p w:rsidR="00507E21" w:rsidRPr="00253C33" w:rsidRDefault="00507E21" w:rsidP="00507E21">
      <w:pPr>
        <w:spacing w:after="0" w:line="240" w:lineRule="auto"/>
        <w:ind w:left="720"/>
        <w:contextualSpacing/>
        <w:rPr>
          <w:rFonts w:eastAsia="Calibri"/>
          <w:color w:val="333333"/>
          <w:sz w:val="24"/>
          <w:szCs w:val="24"/>
        </w:rPr>
      </w:pPr>
    </w:p>
    <w:p w:rsidR="00507E21" w:rsidRPr="00253C33" w:rsidRDefault="00507E21" w:rsidP="00507E21">
      <w:pPr>
        <w:keepNext/>
        <w:keepLines/>
        <w:spacing w:after="0" w:line="240" w:lineRule="auto"/>
        <w:ind w:left="360"/>
        <w:outlineLvl w:val="1"/>
        <w:rPr>
          <w:rFonts w:eastAsia="Times New Roman"/>
          <w:b/>
          <w:bCs/>
          <w:sz w:val="24"/>
          <w:szCs w:val="24"/>
        </w:rPr>
      </w:pPr>
      <w:r w:rsidRPr="00253C33">
        <w:rPr>
          <w:rFonts w:eastAsia="Times New Roman"/>
          <w:b/>
          <w:bCs/>
          <w:sz w:val="24"/>
          <w:szCs w:val="24"/>
        </w:rPr>
        <w:t>A Standard for Evaluating Discrimination</w:t>
      </w:r>
    </w:p>
    <w:p w:rsidR="00507E21" w:rsidRDefault="00507E21" w:rsidP="00507E21">
      <w:pPr>
        <w:pStyle w:val="ListParagraph"/>
        <w:spacing w:after="0" w:line="240" w:lineRule="auto"/>
        <w:ind w:left="0"/>
        <w:rPr>
          <w:rFonts w:eastAsia="Calibri"/>
          <w:color w:val="333333"/>
          <w:sz w:val="24"/>
          <w:szCs w:val="24"/>
        </w:rPr>
      </w:pPr>
      <w:r w:rsidRPr="00F41DDA">
        <w:rPr>
          <w:rFonts w:eastAsia="Calibri"/>
          <w:color w:val="333333"/>
          <w:sz w:val="24"/>
          <w:szCs w:val="24"/>
        </w:rPr>
        <w:t xml:space="preserve">Discriminatory actions – </w:t>
      </w:r>
      <w:r w:rsidRPr="00253C33">
        <w:rPr>
          <w:rFonts w:eastAsia="Calibri"/>
          <w:i/>
          <w:iCs/>
          <w:color w:val="333333"/>
          <w:sz w:val="24"/>
          <w:szCs w:val="24"/>
        </w:rPr>
        <w:t xml:space="preserve">e.g., </w:t>
      </w:r>
      <w:r w:rsidRPr="00253C33">
        <w:rPr>
          <w:rFonts w:eastAsia="Calibri"/>
          <w:color w:val="333333"/>
          <w:sz w:val="24"/>
          <w:szCs w:val="24"/>
        </w:rPr>
        <w:t xml:space="preserve">subjecting ISPs to different rules for accessing ROWs – can also rise to the level of </w:t>
      </w:r>
      <w:r w:rsidRPr="00253C33">
        <w:rPr>
          <w:rFonts w:eastAsia="Calibri"/>
          <w:i/>
          <w:iCs/>
          <w:color w:val="333333"/>
          <w:sz w:val="24"/>
          <w:szCs w:val="24"/>
        </w:rPr>
        <w:t xml:space="preserve">per se </w:t>
      </w:r>
      <w:r w:rsidRPr="00253C33">
        <w:rPr>
          <w:rFonts w:eastAsia="Calibri"/>
          <w:color w:val="333333"/>
          <w:sz w:val="24"/>
          <w:szCs w:val="24"/>
        </w:rPr>
        <w:t>bans on broadband deployment. When developing a standard for evaluating whether certain behavior rises to this level, the Commission will have to decide what makes discrimination among broadband providers “unreasonable,” an undertaking that will, in part, turn on how comparable broadband providers are treated.</w:t>
      </w:r>
      <w:r w:rsidRPr="00F41DDA">
        <w:rPr>
          <w:rFonts w:eastAsia="Calibri"/>
          <w:color w:val="333333"/>
          <w:sz w:val="24"/>
          <w:szCs w:val="24"/>
          <w:vertAlign w:val="superscript"/>
        </w:rPr>
        <w:footnoteReference w:id="13"/>
      </w:r>
      <w:r w:rsidRPr="00F41DDA">
        <w:rPr>
          <w:rFonts w:eastAsia="Calibri"/>
          <w:color w:val="333333"/>
          <w:sz w:val="24"/>
          <w:szCs w:val="24"/>
        </w:rPr>
        <w:t xml:space="preserve"> In general, as above, the Commission’s focus should be on</w:t>
      </w:r>
      <w:r w:rsidRPr="00253C33">
        <w:rPr>
          <w:rFonts w:eastAsia="Calibri"/>
          <w:color w:val="333333"/>
          <w:sz w:val="24"/>
          <w:szCs w:val="24"/>
        </w:rPr>
        <w:t xml:space="preserve"> the consumer: differences in technical architecture </w:t>
      </w:r>
      <w:r w:rsidRPr="00253C33">
        <w:rPr>
          <w:rFonts w:eastAsia="Calibri"/>
          <w:i/>
          <w:iCs/>
          <w:color w:val="333333"/>
          <w:sz w:val="24"/>
          <w:szCs w:val="24"/>
        </w:rPr>
        <w:t xml:space="preserve">might </w:t>
      </w:r>
      <w:r w:rsidRPr="00253C33">
        <w:rPr>
          <w:rFonts w:eastAsia="Calibri"/>
          <w:color w:val="333333"/>
          <w:sz w:val="24"/>
          <w:szCs w:val="24"/>
        </w:rPr>
        <w:t xml:space="preserve">justify different rates, terms or practices from local governments, but the more similar the essential offerings are for consumers, the more the burden should fall on the government entity to justify differential treatment. Accordingly, some but not all discriminatory behavior might operate as </w:t>
      </w:r>
      <w:r w:rsidRPr="00253C33">
        <w:rPr>
          <w:rFonts w:eastAsia="Calibri"/>
          <w:i/>
          <w:iCs/>
          <w:color w:val="333333"/>
          <w:sz w:val="24"/>
          <w:szCs w:val="24"/>
        </w:rPr>
        <w:t xml:space="preserve">per se </w:t>
      </w:r>
      <w:r w:rsidRPr="00253C33">
        <w:rPr>
          <w:rFonts w:eastAsia="Calibri"/>
          <w:color w:val="333333"/>
          <w:sz w:val="24"/>
          <w:szCs w:val="24"/>
        </w:rPr>
        <w:t xml:space="preserve">bans. Actions that are blatantly discriminatory, like refusing to offer </w:t>
      </w:r>
      <w:r>
        <w:rPr>
          <w:rFonts w:eastAsia="Calibri"/>
          <w:color w:val="333333"/>
          <w:sz w:val="24"/>
          <w:szCs w:val="24"/>
        </w:rPr>
        <w:t>provider</w:t>
      </w:r>
      <w:r w:rsidRPr="00253C33">
        <w:rPr>
          <w:rFonts w:eastAsia="Calibri"/>
          <w:color w:val="333333"/>
          <w:sz w:val="24"/>
          <w:szCs w:val="24"/>
        </w:rPr>
        <w:t xml:space="preserve"> B the same terms for ROW access as </w:t>
      </w:r>
      <w:r>
        <w:rPr>
          <w:rFonts w:eastAsia="Calibri"/>
          <w:color w:val="333333"/>
          <w:sz w:val="24"/>
          <w:szCs w:val="24"/>
        </w:rPr>
        <w:t>provider</w:t>
      </w:r>
      <w:r w:rsidRPr="00253C33">
        <w:rPr>
          <w:rFonts w:eastAsia="Calibri"/>
          <w:color w:val="333333"/>
          <w:sz w:val="24"/>
          <w:szCs w:val="24"/>
        </w:rPr>
        <w:t xml:space="preserve"> A, are </w:t>
      </w:r>
      <w:r w:rsidRPr="00253C33">
        <w:rPr>
          <w:rFonts w:eastAsia="Calibri"/>
          <w:i/>
          <w:iCs/>
          <w:color w:val="333333"/>
          <w:sz w:val="24"/>
          <w:szCs w:val="24"/>
        </w:rPr>
        <w:t xml:space="preserve">per se </w:t>
      </w:r>
      <w:r w:rsidRPr="00253C33">
        <w:rPr>
          <w:rFonts w:eastAsia="Calibri"/>
          <w:color w:val="333333"/>
          <w:sz w:val="24"/>
          <w:szCs w:val="24"/>
        </w:rPr>
        <w:t>discriminatory and would likely be ripe for preemptive action. However, there might be actions that do not quite meet this standard.</w:t>
      </w:r>
      <w:r w:rsidRPr="00F41DDA">
        <w:rPr>
          <w:rFonts w:eastAsia="Calibri"/>
          <w:color w:val="333333"/>
          <w:sz w:val="24"/>
          <w:szCs w:val="24"/>
          <w:vertAlign w:val="superscript"/>
        </w:rPr>
        <w:footnoteReference w:id="14"/>
      </w:r>
      <w:r w:rsidRPr="00F41DDA">
        <w:rPr>
          <w:rFonts w:eastAsia="Calibri"/>
          <w:color w:val="333333"/>
          <w:sz w:val="24"/>
          <w:szCs w:val="24"/>
        </w:rPr>
        <w:t xml:space="preserve"> In those instances, it might be best to apply a framework built around rebuttable presumptions to resolve these disput</w:t>
      </w:r>
      <w:r w:rsidRPr="00253C33">
        <w:rPr>
          <w:rFonts w:eastAsia="Calibri"/>
          <w:color w:val="333333"/>
          <w:sz w:val="24"/>
          <w:szCs w:val="24"/>
        </w:rPr>
        <w:t xml:space="preserve">es. </w:t>
      </w:r>
    </w:p>
    <w:p w:rsidR="00507E21" w:rsidRPr="00404DF7" w:rsidRDefault="00507E21" w:rsidP="005F251A">
      <w:pPr>
        <w:jc w:val="center"/>
        <w:rPr>
          <w:b/>
          <w:bCs/>
          <w:sz w:val="24"/>
          <w:szCs w:val="24"/>
        </w:rPr>
      </w:pPr>
      <w:r>
        <w:rPr>
          <w:rFonts w:eastAsia="Calibri"/>
          <w:color w:val="333333"/>
          <w:sz w:val="24"/>
          <w:szCs w:val="24"/>
        </w:rPr>
        <w:br w:type="page"/>
      </w:r>
      <w:r w:rsidRPr="00404DF7">
        <w:rPr>
          <w:b/>
          <w:bCs/>
          <w:sz w:val="24"/>
          <w:szCs w:val="24"/>
        </w:rPr>
        <w:lastRenderedPageBreak/>
        <w:t>APPENDIX H</w:t>
      </w:r>
    </w:p>
    <w:p w:rsidR="00507E21" w:rsidRPr="00404DF7" w:rsidRDefault="00507E21" w:rsidP="00507E21">
      <w:pPr>
        <w:pStyle w:val="ListParagraph"/>
        <w:spacing w:after="0" w:line="240" w:lineRule="auto"/>
        <w:ind w:left="0"/>
        <w:jc w:val="center"/>
        <w:rPr>
          <w:b/>
          <w:sz w:val="24"/>
          <w:szCs w:val="24"/>
        </w:rPr>
      </w:pPr>
    </w:p>
    <w:p w:rsidR="00507E21" w:rsidRPr="00404DF7" w:rsidRDefault="00507E21" w:rsidP="00507E21">
      <w:pPr>
        <w:spacing w:after="0" w:line="240" w:lineRule="auto"/>
        <w:jc w:val="center"/>
        <w:rPr>
          <w:rFonts w:eastAsia="Times New Roman" w:cs="Arial"/>
          <w:b/>
          <w:bCs/>
          <w:caps/>
          <w:sz w:val="24"/>
          <w:szCs w:val="24"/>
        </w:rPr>
      </w:pPr>
      <w:bookmarkStart w:id="11" w:name="h"/>
      <w:r w:rsidRPr="00404DF7">
        <w:rPr>
          <w:rFonts w:eastAsia="Times New Roman" w:cs="Arial"/>
          <w:b/>
          <w:bCs/>
          <w:caps/>
          <w:sz w:val="24"/>
          <w:szCs w:val="24"/>
        </w:rPr>
        <w:t>Broadband Readiness Checklist</w:t>
      </w:r>
    </w:p>
    <w:bookmarkEnd w:id="11"/>
    <w:p w:rsidR="00507E21" w:rsidRPr="00404DF7" w:rsidRDefault="00507E21" w:rsidP="00507E21">
      <w:pPr>
        <w:spacing w:after="0" w:line="240" w:lineRule="auto"/>
        <w:jc w:val="center"/>
        <w:rPr>
          <w:rFonts w:eastAsia="Times New Roman" w:cs="Times New Roman"/>
          <w:b/>
          <w:i/>
          <w:color w:val="FF0000"/>
          <w:sz w:val="24"/>
          <w:szCs w:val="24"/>
        </w:rPr>
      </w:pPr>
    </w:p>
    <w:p w:rsidR="00507E21" w:rsidRPr="009C77F2" w:rsidRDefault="00507E21" w:rsidP="00507E21">
      <w:pPr>
        <w:spacing w:after="0" w:line="240" w:lineRule="auto"/>
        <w:rPr>
          <w:rFonts w:eastAsia="Calibri" w:cs="Calibri"/>
          <w:sz w:val="24"/>
          <w:szCs w:val="24"/>
        </w:rPr>
      </w:pPr>
      <w:r w:rsidRPr="009C77F2">
        <w:rPr>
          <w:rFonts w:eastAsia="Calibri" w:cs="Calibri"/>
          <w:sz w:val="24"/>
          <w:szCs w:val="24"/>
        </w:rPr>
        <w:t xml:space="preserve">The working group identified a number of items that aid in expediting advanced telecommunications deployment within </w:t>
      </w:r>
      <w:r>
        <w:rPr>
          <w:rFonts w:eastAsia="Calibri" w:cs="Calibri"/>
          <w:sz w:val="24"/>
          <w:szCs w:val="24"/>
        </w:rPr>
        <w:t>localities</w:t>
      </w:r>
      <w:r w:rsidRPr="009C77F2">
        <w:rPr>
          <w:rFonts w:eastAsia="Calibri" w:cs="Calibri"/>
          <w:sz w:val="24"/>
          <w:szCs w:val="24"/>
        </w:rPr>
        <w:t xml:space="preserve"> that do not necessarily rise to the level of inclusion in a code or ordinance. The recommendation is to develop a list of these items that a community can use as a tool to proactively prepare to facilitate telecommunications development projects. Below is a high level draft of what might be included in such a list.</w:t>
      </w:r>
    </w:p>
    <w:p w:rsidR="00507E21" w:rsidRPr="009C77F2" w:rsidRDefault="00507E21" w:rsidP="00507E21">
      <w:pPr>
        <w:spacing w:after="0" w:line="240" w:lineRule="auto"/>
        <w:rPr>
          <w:rFonts w:eastAsia="Calibri" w:cs="Calibri"/>
          <w:sz w:val="24"/>
          <w:szCs w:val="24"/>
        </w:rPr>
      </w:pPr>
    </w:p>
    <w:p w:rsidR="00507E21" w:rsidRPr="009C77F2" w:rsidRDefault="00507E21" w:rsidP="00507E21">
      <w:pPr>
        <w:spacing w:after="0" w:line="240" w:lineRule="auto"/>
        <w:rPr>
          <w:rFonts w:eastAsia="Calibri" w:cs="Calibri"/>
          <w:sz w:val="24"/>
          <w:szCs w:val="24"/>
        </w:rPr>
      </w:pPr>
      <w:r w:rsidRPr="009C77F2">
        <w:rPr>
          <w:rFonts w:eastAsia="Calibri" w:cs="Calibri"/>
          <w:b/>
          <w:bCs/>
          <w:sz w:val="24"/>
          <w:szCs w:val="24"/>
        </w:rPr>
        <w:t>Project Management</w:t>
      </w:r>
    </w:p>
    <w:p w:rsidR="00507E21" w:rsidRPr="009C77F2" w:rsidRDefault="00507E21" w:rsidP="00507E21">
      <w:pPr>
        <w:numPr>
          <w:ilvl w:val="0"/>
          <w:numId w:val="9"/>
        </w:numPr>
        <w:spacing w:after="0" w:line="240" w:lineRule="auto"/>
        <w:rPr>
          <w:rFonts w:eastAsia="Times New Roman" w:cs="Arial"/>
          <w:sz w:val="24"/>
          <w:szCs w:val="24"/>
        </w:rPr>
      </w:pPr>
      <w:r w:rsidRPr="009C77F2">
        <w:rPr>
          <w:rFonts w:eastAsia="Calibri" w:cs="Calibri"/>
          <w:sz w:val="24"/>
          <w:szCs w:val="24"/>
        </w:rPr>
        <w:t xml:space="preserve">Establish, identify and publish a single point of contact/project manager/ROW manager for broadband deployment projects. Include other relevant contacts as appropriate. </w:t>
      </w:r>
    </w:p>
    <w:p w:rsidR="00507E21" w:rsidRPr="009C77F2" w:rsidRDefault="00507E21" w:rsidP="00507E21">
      <w:pPr>
        <w:numPr>
          <w:ilvl w:val="0"/>
          <w:numId w:val="9"/>
        </w:numPr>
        <w:spacing w:after="0" w:line="240" w:lineRule="auto"/>
        <w:rPr>
          <w:rFonts w:eastAsia="Times New Roman" w:cs="Arial"/>
          <w:sz w:val="24"/>
          <w:szCs w:val="24"/>
        </w:rPr>
      </w:pPr>
      <w:r w:rsidRPr="009C77F2">
        <w:rPr>
          <w:rFonts w:eastAsia="Calibri" w:cs="Calibri"/>
          <w:sz w:val="24"/>
          <w:szCs w:val="24"/>
        </w:rPr>
        <w:t>Identify clear escalation process/procedures with specific contact information for any issue that arise</w:t>
      </w:r>
    </w:p>
    <w:p w:rsidR="00507E21" w:rsidRPr="009C77F2" w:rsidRDefault="00507E21" w:rsidP="00507E21">
      <w:pPr>
        <w:spacing w:after="0" w:line="240" w:lineRule="auto"/>
        <w:rPr>
          <w:rFonts w:eastAsia="Calibri" w:cs="Calibri"/>
          <w:sz w:val="24"/>
          <w:szCs w:val="24"/>
        </w:rPr>
      </w:pPr>
    </w:p>
    <w:p w:rsidR="00507E21" w:rsidRPr="009C77F2" w:rsidRDefault="00507E21" w:rsidP="00507E21">
      <w:pPr>
        <w:spacing w:after="0" w:line="240" w:lineRule="auto"/>
        <w:rPr>
          <w:rFonts w:eastAsia="Calibri" w:cs="Calibri"/>
          <w:sz w:val="24"/>
          <w:szCs w:val="24"/>
        </w:rPr>
      </w:pPr>
      <w:r w:rsidRPr="009C77F2">
        <w:rPr>
          <w:rFonts w:eastAsia="Calibri" w:cs="Calibri"/>
          <w:b/>
          <w:bCs/>
          <w:sz w:val="24"/>
          <w:szCs w:val="24"/>
        </w:rPr>
        <w:t>Assets &amp; Data</w:t>
      </w:r>
    </w:p>
    <w:p w:rsidR="00507E21" w:rsidRPr="009C77F2" w:rsidRDefault="00507E21" w:rsidP="00507E21">
      <w:pPr>
        <w:numPr>
          <w:ilvl w:val="0"/>
          <w:numId w:val="10"/>
        </w:numPr>
        <w:spacing w:after="0" w:line="240" w:lineRule="auto"/>
        <w:rPr>
          <w:rFonts w:eastAsia="Times New Roman" w:cs="Arial"/>
          <w:sz w:val="24"/>
          <w:szCs w:val="24"/>
        </w:rPr>
      </w:pPr>
      <w:r w:rsidRPr="009C77F2">
        <w:rPr>
          <w:rFonts w:eastAsia="Calibri" w:cs="Calibri"/>
          <w:sz w:val="24"/>
          <w:szCs w:val="24"/>
        </w:rPr>
        <w:t>Identify and locate any existing maps of available infrastructure, planned construction, etc.</w:t>
      </w:r>
    </w:p>
    <w:p w:rsidR="00507E21" w:rsidRPr="009C77F2" w:rsidRDefault="00507E21" w:rsidP="00507E21">
      <w:pPr>
        <w:numPr>
          <w:ilvl w:val="0"/>
          <w:numId w:val="10"/>
        </w:numPr>
        <w:spacing w:after="0" w:line="240" w:lineRule="auto"/>
        <w:rPr>
          <w:rFonts w:eastAsia="Times New Roman" w:cs="Arial"/>
          <w:sz w:val="24"/>
          <w:szCs w:val="24"/>
        </w:rPr>
      </w:pPr>
      <w:r w:rsidRPr="009C77F2">
        <w:rPr>
          <w:rFonts w:eastAsia="Calibri" w:cs="Calibri"/>
          <w:sz w:val="24"/>
          <w:szCs w:val="24"/>
        </w:rPr>
        <w:t>Identify expeditious process for making existing GIS data available</w:t>
      </w:r>
    </w:p>
    <w:p w:rsidR="00507E21" w:rsidRPr="00253C33" w:rsidRDefault="00507E21" w:rsidP="00507E21">
      <w:pPr>
        <w:numPr>
          <w:ilvl w:val="0"/>
          <w:numId w:val="10"/>
        </w:numPr>
        <w:spacing w:after="0" w:line="240" w:lineRule="auto"/>
        <w:rPr>
          <w:rFonts w:eastAsia="Times New Roman" w:cs="Arial"/>
          <w:sz w:val="24"/>
          <w:szCs w:val="24"/>
        </w:rPr>
      </w:pPr>
      <w:r w:rsidRPr="009C77F2">
        <w:rPr>
          <w:rFonts w:eastAsia="Calibri" w:cs="Calibri"/>
          <w:sz w:val="24"/>
          <w:szCs w:val="24"/>
        </w:rPr>
        <w:t>Identify any known contacts for electrical and backhaul sources</w:t>
      </w:r>
    </w:p>
    <w:p w:rsidR="00507E21" w:rsidRPr="009C77F2" w:rsidRDefault="00507E21" w:rsidP="00507E21">
      <w:pPr>
        <w:spacing w:after="0" w:line="240" w:lineRule="auto"/>
        <w:ind w:left="720"/>
        <w:rPr>
          <w:rFonts w:eastAsia="Times New Roman" w:cs="Arial"/>
          <w:sz w:val="24"/>
          <w:szCs w:val="24"/>
        </w:rPr>
      </w:pPr>
    </w:p>
    <w:p w:rsidR="00507E21" w:rsidRPr="009C77F2" w:rsidRDefault="00507E21" w:rsidP="00507E21">
      <w:pPr>
        <w:spacing w:after="0" w:line="240" w:lineRule="auto"/>
        <w:rPr>
          <w:rFonts w:eastAsia="Calibri" w:cs="Calibri"/>
          <w:sz w:val="24"/>
          <w:szCs w:val="24"/>
        </w:rPr>
      </w:pPr>
      <w:r w:rsidRPr="009C77F2">
        <w:rPr>
          <w:rFonts w:eastAsia="Calibri" w:cs="Calibri"/>
          <w:b/>
          <w:bCs/>
          <w:sz w:val="24"/>
          <w:szCs w:val="24"/>
        </w:rPr>
        <w:t>Rate Structure</w:t>
      </w:r>
    </w:p>
    <w:p w:rsidR="00507E21" w:rsidRPr="009C77F2" w:rsidRDefault="00507E21" w:rsidP="00507E21">
      <w:pPr>
        <w:numPr>
          <w:ilvl w:val="0"/>
          <w:numId w:val="11"/>
        </w:numPr>
        <w:spacing w:after="0" w:line="240" w:lineRule="auto"/>
        <w:rPr>
          <w:rFonts w:eastAsia="Times New Roman" w:cs="Arial"/>
          <w:sz w:val="24"/>
          <w:szCs w:val="24"/>
        </w:rPr>
      </w:pPr>
      <w:r w:rsidRPr="009C77F2">
        <w:rPr>
          <w:rFonts w:eastAsia="Calibri" w:cs="Calibri"/>
          <w:sz w:val="24"/>
          <w:szCs w:val="24"/>
        </w:rPr>
        <w:t>Publish detailed rate/application fee information:</w:t>
      </w:r>
    </w:p>
    <w:p w:rsidR="00507E21" w:rsidRPr="009C77F2" w:rsidRDefault="00507E21" w:rsidP="00507E21">
      <w:pPr>
        <w:numPr>
          <w:ilvl w:val="1"/>
          <w:numId w:val="12"/>
        </w:numPr>
        <w:spacing w:after="0" w:line="240" w:lineRule="auto"/>
        <w:rPr>
          <w:rFonts w:eastAsia="Times New Roman" w:cs="Arial"/>
          <w:sz w:val="24"/>
          <w:szCs w:val="24"/>
        </w:rPr>
      </w:pPr>
      <w:r w:rsidRPr="009C77F2">
        <w:rPr>
          <w:rFonts w:eastAsia="Calibri" w:cs="Calibri"/>
          <w:sz w:val="24"/>
          <w:szCs w:val="24"/>
        </w:rPr>
        <w:t>Wireline attachment, microcell (by type of pole)</w:t>
      </w:r>
    </w:p>
    <w:p w:rsidR="00507E21" w:rsidRPr="009C77F2" w:rsidRDefault="00507E21" w:rsidP="00507E21">
      <w:pPr>
        <w:numPr>
          <w:ilvl w:val="1"/>
          <w:numId w:val="12"/>
        </w:numPr>
        <w:spacing w:after="0" w:line="240" w:lineRule="auto"/>
        <w:rPr>
          <w:rFonts w:eastAsia="Times New Roman" w:cs="Arial"/>
          <w:sz w:val="24"/>
          <w:szCs w:val="24"/>
        </w:rPr>
      </w:pPr>
      <w:r w:rsidRPr="009C77F2">
        <w:rPr>
          <w:rFonts w:eastAsia="Calibri" w:cs="Calibri"/>
          <w:sz w:val="24"/>
          <w:szCs w:val="24"/>
        </w:rPr>
        <w:t>Establish pre-program master attachment and maintenance agreements</w:t>
      </w:r>
    </w:p>
    <w:p w:rsidR="00507E21" w:rsidRPr="009C77F2" w:rsidRDefault="00507E21" w:rsidP="00507E21">
      <w:pPr>
        <w:numPr>
          <w:ilvl w:val="1"/>
          <w:numId w:val="12"/>
        </w:numPr>
        <w:spacing w:after="0" w:line="240" w:lineRule="auto"/>
        <w:rPr>
          <w:rFonts w:eastAsia="Times New Roman" w:cs="Arial"/>
          <w:sz w:val="24"/>
          <w:szCs w:val="24"/>
        </w:rPr>
      </w:pPr>
      <w:r w:rsidRPr="009C77F2">
        <w:rPr>
          <w:rFonts w:eastAsia="Calibri" w:cs="Calibri"/>
          <w:sz w:val="24"/>
          <w:szCs w:val="24"/>
        </w:rPr>
        <w:t>Summarize impacting state/federal/local regulations, pole/strand exemptions/restrictions, utility impacts; identify impact of currently in place agreements (if any).</w:t>
      </w:r>
    </w:p>
    <w:p w:rsidR="00507E21" w:rsidRPr="00253C33" w:rsidRDefault="00507E21" w:rsidP="00507E21">
      <w:pPr>
        <w:numPr>
          <w:ilvl w:val="1"/>
          <w:numId w:val="13"/>
        </w:numPr>
        <w:spacing w:after="0" w:line="240" w:lineRule="auto"/>
        <w:rPr>
          <w:rFonts w:eastAsia="Times New Roman" w:cs="Arial"/>
          <w:sz w:val="24"/>
          <w:szCs w:val="24"/>
        </w:rPr>
      </w:pPr>
      <w:r w:rsidRPr="009C77F2">
        <w:rPr>
          <w:rFonts w:eastAsia="Calibri" w:cs="Calibri"/>
          <w:sz w:val="24"/>
          <w:szCs w:val="24"/>
        </w:rPr>
        <w:t>Publish a rate study guide</w:t>
      </w:r>
      <w:r>
        <w:rPr>
          <w:rFonts w:eastAsia="Calibri" w:cs="Calibri"/>
          <w:sz w:val="24"/>
          <w:szCs w:val="24"/>
        </w:rPr>
        <w:t>.</w:t>
      </w:r>
    </w:p>
    <w:p w:rsidR="00507E21" w:rsidRPr="009C77F2" w:rsidRDefault="00507E21" w:rsidP="00507E21">
      <w:pPr>
        <w:spacing w:after="0" w:line="240" w:lineRule="auto"/>
        <w:ind w:left="1440"/>
        <w:rPr>
          <w:rFonts w:eastAsia="Times New Roman" w:cs="Arial"/>
          <w:sz w:val="24"/>
          <w:szCs w:val="24"/>
        </w:rPr>
      </w:pPr>
    </w:p>
    <w:p w:rsidR="00507E21" w:rsidRPr="009C77F2" w:rsidRDefault="00507E21" w:rsidP="00507E21">
      <w:pPr>
        <w:spacing w:after="0" w:line="240" w:lineRule="auto"/>
        <w:rPr>
          <w:rFonts w:eastAsia="Calibri" w:cs="Calibri"/>
          <w:sz w:val="24"/>
          <w:szCs w:val="24"/>
        </w:rPr>
      </w:pPr>
      <w:r w:rsidRPr="009C77F2">
        <w:rPr>
          <w:b/>
          <w:sz w:val="24"/>
          <w:szCs w:val="24"/>
        </w:rPr>
        <w:t>Permitting</w:t>
      </w:r>
    </w:p>
    <w:p w:rsidR="00507E21" w:rsidRPr="009C77F2" w:rsidRDefault="00507E21" w:rsidP="00507E21">
      <w:pPr>
        <w:numPr>
          <w:ilvl w:val="0"/>
          <w:numId w:val="14"/>
        </w:numPr>
        <w:spacing w:after="0" w:line="240" w:lineRule="auto"/>
        <w:rPr>
          <w:rFonts w:eastAsia="Times New Roman" w:cs="Arial"/>
          <w:sz w:val="24"/>
          <w:szCs w:val="24"/>
        </w:rPr>
      </w:pPr>
      <w:r w:rsidRPr="009C77F2">
        <w:rPr>
          <w:rFonts w:eastAsia="Calibri" w:cs="Calibri"/>
          <w:sz w:val="24"/>
          <w:szCs w:val="24"/>
        </w:rPr>
        <w:t xml:space="preserve">Publish permit fees </w:t>
      </w:r>
    </w:p>
    <w:p w:rsidR="00507E21" w:rsidRPr="009C77F2" w:rsidRDefault="00507E21" w:rsidP="00507E21">
      <w:pPr>
        <w:numPr>
          <w:ilvl w:val="0"/>
          <w:numId w:val="14"/>
        </w:numPr>
        <w:spacing w:after="0" w:line="240" w:lineRule="auto"/>
        <w:rPr>
          <w:rFonts w:eastAsia="Times New Roman" w:cs="Arial"/>
          <w:sz w:val="24"/>
          <w:szCs w:val="24"/>
        </w:rPr>
      </w:pPr>
      <w:r w:rsidRPr="009C77F2">
        <w:rPr>
          <w:rFonts w:eastAsia="Calibri" w:cs="Calibri"/>
          <w:sz w:val="24"/>
          <w:szCs w:val="24"/>
        </w:rPr>
        <w:t>Create or identify rapid processes for permit review and processing along with specific timeframes for permit issuing</w:t>
      </w:r>
    </w:p>
    <w:p w:rsidR="00507E21" w:rsidRPr="009C77F2" w:rsidRDefault="00507E21" w:rsidP="00507E21">
      <w:pPr>
        <w:numPr>
          <w:ilvl w:val="0"/>
          <w:numId w:val="14"/>
        </w:numPr>
        <w:spacing w:after="0" w:line="240" w:lineRule="auto"/>
        <w:rPr>
          <w:rFonts w:eastAsia="Times New Roman" w:cs="Arial"/>
          <w:sz w:val="24"/>
          <w:szCs w:val="24"/>
        </w:rPr>
      </w:pPr>
      <w:r w:rsidRPr="009C77F2">
        <w:rPr>
          <w:rFonts w:eastAsia="Calibri" w:cs="Calibri"/>
          <w:sz w:val="24"/>
          <w:szCs w:val="24"/>
        </w:rPr>
        <w:t>Identify duration of permit and any restrictions that may be relevant</w:t>
      </w:r>
    </w:p>
    <w:p w:rsidR="00507E21" w:rsidRPr="009C77F2" w:rsidRDefault="00507E21" w:rsidP="00507E21">
      <w:pPr>
        <w:spacing w:after="0" w:line="240" w:lineRule="auto"/>
        <w:rPr>
          <w:rFonts w:eastAsia="Calibri" w:cs="Calibri"/>
          <w:sz w:val="24"/>
          <w:szCs w:val="24"/>
        </w:rPr>
      </w:pPr>
    </w:p>
    <w:p w:rsidR="00507E21" w:rsidRPr="009C77F2" w:rsidRDefault="00507E21" w:rsidP="00507E21">
      <w:pPr>
        <w:spacing w:after="0" w:line="240" w:lineRule="auto"/>
        <w:rPr>
          <w:rFonts w:eastAsia="Calibri" w:cs="Calibri"/>
          <w:sz w:val="24"/>
          <w:szCs w:val="24"/>
        </w:rPr>
      </w:pPr>
      <w:r w:rsidRPr="009C77F2">
        <w:rPr>
          <w:rFonts w:eastAsia="Calibri" w:cs="Calibri"/>
          <w:b/>
          <w:bCs/>
          <w:sz w:val="24"/>
          <w:szCs w:val="24"/>
        </w:rPr>
        <w:t>Construction</w:t>
      </w:r>
    </w:p>
    <w:p w:rsidR="00507E21" w:rsidRPr="009C77F2" w:rsidRDefault="00507E21" w:rsidP="00507E21">
      <w:pPr>
        <w:numPr>
          <w:ilvl w:val="0"/>
          <w:numId w:val="15"/>
        </w:numPr>
        <w:spacing w:after="0" w:line="240" w:lineRule="auto"/>
        <w:rPr>
          <w:rFonts w:eastAsia="Times New Roman" w:cs="Arial"/>
          <w:sz w:val="24"/>
          <w:szCs w:val="24"/>
        </w:rPr>
      </w:pPr>
      <w:r w:rsidRPr="009C77F2">
        <w:rPr>
          <w:rFonts w:eastAsia="Calibri" w:cs="Calibri"/>
          <w:sz w:val="24"/>
          <w:szCs w:val="24"/>
        </w:rPr>
        <w:t>Publish underground and aerial standards (e.g. boring, micro</w:t>
      </w:r>
      <w:r>
        <w:rPr>
          <w:rFonts w:eastAsia="Calibri" w:cs="Calibri"/>
          <w:sz w:val="24"/>
          <w:szCs w:val="24"/>
        </w:rPr>
        <w:t>-</w:t>
      </w:r>
      <w:r w:rsidRPr="009C77F2">
        <w:rPr>
          <w:rFonts w:eastAsia="Calibri" w:cs="Calibri"/>
          <w:sz w:val="24"/>
          <w:szCs w:val="24"/>
        </w:rPr>
        <w:t>trenching, National Electrical Safety Code (NESC), minimum clearances between communications attachments and power attachments)</w:t>
      </w:r>
      <w:r>
        <w:rPr>
          <w:rFonts w:eastAsia="Calibri" w:cs="Calibri"/>
          <w:sz w:val="24"/>
          <w:szCs w:val="24"/>
        </w:rPr>
        <w:t>.</w:t>
      </w:r>
    </w:p>
    <w:p w:rsidR="00507E21" w:rsidRPr="009C77F2" w:rsidRDefault="00507E21" w:rsidP="00507E21">
      <w:pPr>
        <w:numPr>
          <w:ilvl w:val="0"/>
          <w:numId w:val="15"/>
        </w:numPr>
        <w:spacing w:after="0" w:line="240" w:lineRule="auto"/>
        <w:rPr>
          <w:rFonts w:eastAsia="Times New Roman" w:cs="Arial"/>
          <w:sz w:val="24"/>
          <w:szCs w:val="24"/>
        </w:rPr>
      </w:pPr>
      <w:r w:rsidRPr="009C77F2">
        <w:rPr>
          <w:rFonts w:eastAsia="Calibri" w:cs="Calibri"/>
          <w:sz w:val="24"/>
          <w:szCs w:val="24"/>
        </w:rPr>
        <w:t>Publish insurance and bonding requirements</w:t>
      </w:r>
      <w:r>
        <w:rPr>
          <w:rFonts w:eastAsia="Calibri" w:cs="Calibri"/>
          <w:sz w:val="24"/>
          <w:szCs w:val="24"/>
        </w:rPr>
        <w:t>.</w:t>
      </w:r>
    </w:p>
    <w:p w:rsidR="00507E21" w:rsidRPr="009C77F2" w:rsidRDefault="00507E21" w:rsidP="00507E21">
      <w:pPr>
        <w:numPr>
          <w:ilvl w:val="0"/>
          <w:numId w:val="15"/>
        </w:numPr>
        <w:spacing w:after="0" w:line="240" w:lineRule="auto"/>
        <w:rPr>
          <w:rFonts w:eastAsia="Times New Roman" w:cs="Arial"/>
          <w:sz w:val="24"/>
          <w:szCs w:val="24"/>
        </w:rPr>
      </w:pPr>
      <w:r w:rsidRPr="009C77F2">
        <w:rPr>
          <w:rFonts w:eastAsia="Calibri" w:cs="Calibri"/>
          <w:sz w:val="24"/>
          <w:szCs w:val="24"/>
        </w:rPr>
        <w:t>Identify seasonal timelines and any other time-based limitations</w:t>
      </w:r>
      <w:r>
        <w:rPr>
          <w:rFonts w:eastAsia="Calibri" w:cs="Calibri"/>
          <w:sz w:val="24"/>
          <w:szCs w:val="24"/>
        </w:rPr>
        <w:t>.</w:t>
      </w:r>
    </w:p>
    <w:p w:rsidR="00507E21" w:rsidRPr="009C77F2" w:rsidRDefault="00507E21" w:rsidP="00507E21">
      <w:pPr>
        <w:numPr>
          <w:ilvl w:val="0"/>
          <w:numId w:val="15"/>
        </w:numPr>
        <w:spacing w:after="0" w:line="240" w:lineRule="auto"/>
        <w:rPr>
          <w:rFonts w:eastAsia="Times New Roman" w:cs="Arial"/>
          <w:sz w:val="24"/>
          <w:szCs w:val="24"/>
        </w:rPr>
      </w:pPr>
      <w:r w:rsidRPr="009C77F2">
        <w:rPr>
          <w:rFonts w:eastAsia="Calibri" w:cs="Calibri"/>
          <w:sz w:val="24"/>
          <w:szCs w:val="24"/>
        </w:rPr>
        <w:lastRenderedPageBreak/>
        <w:t>Identify utility reroute/deployment/maintenance policies</w:t>
      </w:r>
      <w:r>
        <w:rPr>
          <w:rFonts w:eastAsia="Calibri" w:cs="Calibri"/>
          <w:sz w:val="24"/>
          <w:szCs w:val="24"/>
        </w:rPr>
        <w:t>.</w:t>
      </w:r>
    </w:p>
    <w:p w:rsidR="00507E21" w:rsidRPr="009C77F2" w:rsidRDefault="00507E21" w:rsidP="00507E21">
      <w:pPr>
        <w:numPr>
          <w:ilvl w:val="0"/>
          <w:numId w:val="15"/>
        </w:numPr>
        <w:spacing w:after="0" w:line="240" w:lineRule="auto"/>
        <w:rPr>
          <w:rFonts w:eastAsia="Times New Roman" w:cs="Arial"/>
          <w:sz w:val="24"/>
          <w:szCs w:val="24"/>
        </w:rPr>
      </w:pPr>
      <w:r w:rsidRPr="009C77F2">
        <w:rPr>
          <w:rFonts w:eastAsia="Calibri" w:cs="Calibri"/>
          <w:sz w:val="24"/>
          <w:szCs w:val="24"/>
        </w:rPr>
        <w:t>Identify any required use of specialized crews/deployment management on assists</w:t>
      </w:r>
      <w:r>
        <w:rPr>
          <w:rFonts w:eastAsia="Calibri" w:cs="Calibri"/>
          <w:sz w:val="24"/>
          <w:szCs w:val="24"/>
        </w:rPr>
        <w:t>.</w:t>
      </w:r>
    </w:p>
    <w:p w:rsidR="00507E21" w:rsidRPr="009C77F2" w:rsidRDefault="00507E21" w:rsidP="00507E21">
      <w:pPr>
        <w:numPr>
          <w:ilvl w:val="0"/>
          <w:numId w:val="15"/>
        </w:numPr>
        <w:spacing w:after="0" w:line="240" w:lineRule="auto"/>
        <w:rPr>
          <w:rFonts w:eastAsia="Times New Roman" w:cs="Arial"/>
          <w:sz w:val="24"/>
          <w:szCs w:val="24"/>
        </w:rPr>
      </w:pPr>
      <w:r>
        <w:rPr>
          <w:rFonts w:eastAsia="Calibri" w:cs="Calibri"/>
          <w:sz w:val="24"/>
          <w:szCs w:val="24"/>
        </w:rPr>
        <w:t xml:space="preserve">Publish </w:t>
      </w:r>
      <w:r w:rsidRPr="009C77F2">
        <w:rPr>
          <w:rFonts w:eastAsia="Calibri" w:cs="Calibri"/>
          <w:sz w:val="24"/>
          <w:szCs w:val="24"/>
        </w:rPr>
        <w:t>any additional training requirements mandated by a particular utility to work on/access a site</w:t>
      </w:r>
      <w:r>
        <w:rPr>
          <w:rFonts w:eastAsia="Calibri" w:cs="Calibri"/>
          <w:sz w:val="24"/>
          <w:szCs w:val="24"/>
        </w:rPr>
        <w:t>, and i</w:t>
      </w:r>
      <w:r w:rsidRPr="009C77F2">
        <w:rPr>
          <w:rFonts w:eastAsia="Calibri" w:cs="Calibri"/>
          <w:sz w:val="24"/>
          <w:szCs w:val="24"/>
        </w:rPr>
        <w:t>dentify any requirements for partnerships with utility-approved contractors</w:t>
      </w:r>
      <w:r>
        <w:rPr>
          <w:rFonts w:eastAsia="Calibri" w:cs="Calibri"/>
          <w:sz w:val="24"/>
          <w:szCs w:val="24"/>
        </w:rPr>
        <w:t>.</w:t>
      </w:r>
    </w:p>
    <w:p w:rsidR="00507E21" w:rsidRPr="00EC7ECE" w:rsidRDefault="00507E21" w:rsidP="00507E21">
      <w:pPr>
        <w:numPr>
          <w:ilvl w:val="0"/>
          <w:numId w:val="15"/>
        </w:numPr>
        <w:spacing w:after="0" w:line="240" w:lineRule="auto"/>
        <w:rPr>
          <w:rFonts w:eastAsia="Times New Roman" w:cs="Arial"/>
          <w:sz w:val="24"/>
          <w:szCs w:val="24"/>
        </w:rPr>
      </w:pPr>
      <w:r w:rsidRPr="0081715D">
        <w:rPr>
          <w:rFonts w:eastAsia="Calibri" w:cs="Calibri"/>
          <w:sz w:val="24"/>
          <w:szCs w:val="24"/>
        </w:rPr>
        <w:t>Publish aesthetic considerations that have been codified, and are clear and consistent across providers</w:t>
      </w:r>
      <w:r>
        <w:rPr>
          <w:rFonts w:eastAsia="Calibri" w:cs="Calibri"/>
          <w:sz w:val="24"/>
          <w:szCs w:val="24"/>
        </w:rPr>
        <w:t>.</w:t>
      </w:r>
    </w:p>
    <w:p w:rsidR="00507E21" w:rsidRPr="0081715D" w:rsidRDefault="00507E21" w:rsidP="00507E21">
      <w:pPr>
        <w:numPr>
          <w:ilvl w:val="0"/>
          <w:numId w:val="15"/>
        </w:numPr>
        <w:spacing w:after="0" w:line="240" w:lineRule="auto"/>
        <w:rPr>
          <w:rFonts w:eastAsia="Times New Roman" w:cs="Arial"/>
          <w:sz w:val="24"/>
          <w:szCs w:val="24"/>
        </w:rPr>
      </w:pPr>
      <w:r w:rsidRPr="0081715D">
        <w:rPr>
          <w:rFonts w:eastAsia="Calibri" w:cs="Calibri"/>
          <w:sz w:val="24"/>
          <w:szCs w:val="24"/>
        </w:rPr>
        <w:t xml:space="preserve">Publish any provisions that are in place to expedite moving of pole attachments so that each attachment doesn’t need a separate truck roll to be moved, such as one touch make ready. </w:t>
      </w:r>
    </w:p>
    <w:p w:rsidR="00507E21" w:rsidRPr="009C77F2" w:rsidRDefault="00507E21" w:rsidP="00507E21">
      <w:pPr>
        <w:numPr>
          <w:ilvl w:val="0"/>
          <w:numId w:val="15"/>
        </w:numPr>
        <w:spacing w:after="0" w:line="240" w:lineRule="auto"/>
        <w:rPr>
          <w:rFonts w:eastAsia="Times New Roman" w:cs="Arial"/>
          <w:sz w:val="24"/>
          <w:szCs w:val="24"/>
        </w:rPr>
      </w:pPr>
      <w:r>
        <w:rPr>
          <w:rFonts w:eastAsia="Calibri" w:cs="Calibri"/>
          <w:sz w:val="24"/>
          <w:szCs w:val="24"/>
        </w:rPr>
        <w:t>Publish e</w:t>
      </w:r>
      <w:r w:rsidRPr="009C77F2">
        <w:rPr>
          <w:rFonts w:eastAsia="Calibri" w:cs="Calibri"/>
          <w:sz w:val="24"/>
          <w:szCs w:val="24"/>
        </w:rPr>
        <w:t xml:space="preserve">ngineered plans showing equipment that will be attached to poles and an analysis of the existing pole and if it will handle the new attachments. </w:t>
      </w:r>
    </w:p>
    <w:p w:rsidR="00507E21" w:rsidRPr="009C77F2" w:rsidRDefault="00507E21" w:rsidP="00507E21">
      <w:pPr>
        <w:numPr>
          <w:ilvl w:val="0"/>
          <w:numId w:val="15"/>
        </w:numPr>
        <w:spacing w:after="0" w:line="240" w:lineRule="auto"/>
        <w:rPr>
          <w:rFonts w:eastAsia="Times New Roman" w:cs="Arial"/>
          <w:sz w:val="24"/>
          <w:szCs w:val="24"/>
        </w:rPr>
      </w:pPr>
      <w:r>
        <w:rPr>
          <w:rFonts w:eastAsia="Calibri" w:cs="Calibri"/>
          <w:sz w:val="24"/>
          <w:szCs w:val="24"/>
        </w:rPr>
        <w:t xml:space="preserve">Publish the </w:t>
      </w:r>
      <w:r w:rsidRPr="009C77F2">
        <w:rPr>
          <w:rFonts w:eastAsia="Calibri" w:cs="Calibri"/>
          <w:sz w:val="24"/>
          <w:szCs w:val="24"/>
        </w:rPr>
        <w:t xml:space="preserve">layout of power supplies and cable or fiber to receive and send signals to new equipment. </w:t>
      </w:r>
    </w:p>
    <w:p w:rsidR="00507E21" w:rsidRPr="009C77F2" w:rsidRDefault="00507E21" w:rsidP="00507E21">
      <w:pPr>
        <w:spacing w:after="0" w:line="240" w:lineRule="auto"/>
        <w:rPr>
          <w:rFonts w:eastAsia="Calibri" w:cs="Calibri"/>
          <w:sz w:val="24"/>
          <w:szCs w:val="24"/>
        </w:rPr>
      </w:pPr>
    </w:p>
    <w:p w:rsidR="00507E21" w:rsidRPr="009C77F2" w:rsidRDefault="00507E21" w:rsidP="00507E21">
      <w:pPr>
        <w:spacing w:after="0" w:line="240" w:lineRule="auto"/>
        <w:rPr>
          <w:rFonts w:eastAsia="Calibri" w:cs="Calibri"/>
          <w:sz w:val="24"/>
          <w:szCs w:val="24"/>
        </w:rPr>
      </w:pPr>
      <w:r w:rsidRPr="009C77F2">
        <w:rPr>
          <w:rFonts w:eastAsia="Calibri" w:cs="Calibri"/>
          <w:b/>
          <w:bCs/>
          <w:sz w:val="24"/>
          <w:szCs w:val="24"/>
        </w:rPr>
        <w:t>Maintenance</w:t>
      </w:r>
    </w:p>
    <w:p w:rsidR="00507E21" w:rsidRPr="009C77F2" w:rsidRDefault="00507E21" w:rsidP="00507E21">
      <w:pPr>
        <w:numPr>
          <w:ilvl w:val="0"/>
          <w:numId w:val="16"/>
        </w:numPr>
        <w:spacing w:after="0" w:line="240" w:lineRule="auto"/>
        <w:rPr>
          <w:rFonts w:eastAsia="Times New Roman" w:cs="Arial"/>
          <w:sz w:val="24"/>
          <w:szCs w:val="24"/>
        </w:rPr>
      </w:pPr>
      <w:r w:rsidRPr="009C77F2">
        <w:rPr>
          <w:rFonts w:eastAsia="Calibri" w:cs="Calibri"/>
          <w:sz w:val="24"/>
          <w:szCs w:val="24"/>
        </w:rPr>
        <w:t>Create and make available a policy on emergency facilities maintenance procedures</w:t>
      </w:r>
    </w:p>
    <w:p w:rsidR="00507E21" w:rsidRPr="009C77F2" w:rsidRDefault="00507E21" w:rsidP="00507E21">
      <w:pPr>
        <w:numPr>
          <w:ilvl w:val="0"/>
          <w:numId w:val="16"/>
        </w:numPr>
        <w:spacing w:after="0" w:line="240" w:lineRule="auto"/>
        <w:rPr>
          <w:rFonts w:eastAsia="Times New Roman" w:cs="Arial"/>
          <w:sz w:val="24"/>
          <w:szCs w:val="24"/>
        </w:rPr>
      </w:pPr>
      <w:r w:rsidRPr="009C77F2">
        <w:rPr>
          <w:rFonts w:eastAsia="Calibri" w:cs="Calibri"/>
          <w:sz w:val="24"/>
          <w:szCs w:val="24"/>
        </w:rPr>
        <w:t>Create a process for sharing road closure information</w:t>
      </w:r>
    </w:p>
    <w:p w:rsidR="00507E21" w:rsidRPr="009C77F2" w:rsidRDefault="00507E21" w:rsidP="00507E21">
      <w:pPr>
        <w:numPr>
          <w:ilvl w:val="0"/>
          <w:numId w:val="16"/>
        </w:numPr>
        <w:spacing w:after="0" w:line="240" w:lineRule="auto"/>
        <w:rPr>
          <w:rFonts w:eastAsia="Times New Roman" w:cs="Arial"/>
          <w:sz w:val="24"/>
          <w:szCs w:val="24"/>
        </w:rPr>
      </w:pPr>
      <w:r w:rsidRPr="009C77F2">
        <w:rPr>
          <w:rFonts w:eastAsia="Calibri" w:cs="Calibri"/>
          <w:sz w:val="24"/>
          <w:szCs w:val="24"/>
        </w:rPr>
        <w:t>Identify appropriate communication channels for maintenance issues</w:t>
      </w:r>
    </w:p>
    <w:p w:rsidR="00507E21" w:rsidRPr="009C77F2" w:rsidRDefault="00507E21" w:rsidP="00507E21">
      <w:pPr>
        <w:numPr>
          <w:ilvl w:val="0"/>
          <w:numId w:val="16"/>
        </w:numPr>
        <w:spacing w:after="0" w:line="240" w:lineRule="auto"/>
        <w:rPr>
          <w:rFonts w:eastAsia="Times New Roman" w:cs="Arial"/>
          <w:sz w:val="24"/>
          <w:szCs w:val="24"/>
        </w:rPr>
      </w:pPr>
      <w:r w:rsidRPr="009C77F2">
        <w:rPr>
          <w:rFonts w:eastAsia="Calibri" w:cs="Calibri"/>
          <w:sz w:val="24"/>
          <w:szCs w:val="24"/>
        </w:rPr>
        <w:t>Identify requirements for incumbent utility/municipal/DOT maintenance agreements</w:t>
      </w:r>
    </w:p>
    <w:p w:rsidR="00507E21" w:rsidRPr="009C77F2" w:rsidRDefault="00507E21" w:rsidP="00507E21">
      <w:pPr>
        <w:spacing w:after="0" w:line="240" w:lineRule="auto"/>
        <w:rPr>
          <w:rFonts w:eastAsia="Times New Roman" w:cs="Times New Roman"/>
          <w:sz w:val="24"/>
          <w:szCs w:val="24"/>
        </w:rPr>
        <w:sectPr w:rsidR="00507E21" w:rsidRPr="009C77F2" w:rsidSect="00800BDF">
          <w:type w:val="continuous"/>
          <w:pgSz w:w="12240" w:h="15840"/>
          <w:pgMar w:top="1440" w:right="1440" w:bottom="1440" w:left="1440" w:header="720" w:footer="720" w:gutter="0"/>
          <w:pgNumType w:start="0"/>
          <w:cols w:space="720"/>
          <w:docGrid w:linePitch="360"/>
        </w:sectPr>
      </w:pPr>
    </w:p>
    <w:p w:rsidR="00507E21" w:rsidRPr="009C77F2" w:rsidRDefault="00507E21" w:rsidP="00507E21">
      <w:pPr>
        <w:spacing w:after="0" w:line="240" w:lineRule="auto"/>
        <w:rPr>
          <w:rFonts w:eastAsia="Times New Roman" w:cs="Times New Roman"/>
          <w:sz w:val="24"/>
          <w:szCs w:val="24"/>
        </w:rPr>
      </w:pPr>
    </w:p>
    <w:p w:rsidR="00FE60DD" w:rsidRDefault="00FE60DD"/>
    <w:sectPr w:rsidR="00FE60DD" w:rsidSect="00672498">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202" w:rsidRDefault="00317202" w:rsidP="00507E21">
      <w:pPr>
        <w:spacing w:after="0" w:line="240" w:lineRule="auto"/>
      </w:pPr>
      <w:r>
        <w:separator/>
      </w:r>
    </w:p>
  </w:endnote>
  <w:endnote w:type="continuationSeparator" w:id="0">
    <w:p w:rsidR="00317202" w:rsidRDefault="00317202" w:rsidP="0050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21" w:rsidRDefault="001E421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November</w:t>
    </w:r>
    <w:r w:rsidR="00507E21">
      <w:rPr>
        <w:rFonts w:asciiTheme="majorHAnsi" w:eastAsiaTheme="majorEastAsia" w:hAnsiTheme="majorHAnsi" w:cstheme="majorBidi"/>
      </w:rPr>
      <w:t xml:space="preserve"> 3, 2017</w:t>
    </w:r>
    <w:r w:rsidR="00507E21" w:rsidRPr="00507E21">
      <w:rPr>
        <w:rFonts w:asciiTheme="majorHAnsi" w:eastAsiaTheme="majorEastAsia" w:hAnsiTheme="majorHAnsi" w:cstheme="majorBidi"/>
        <w:b/>
        <w:caps/>
      </w:rPr>
      <w:t xml:space="preserve"> </w:t>
    </w:r>
    <w:r w:rsidR="00507E21">
      <w:rPr>
        <w:rFonts w:asciiTheme="majorHAnsi" w:eastAsiaTheme="majorEastAsia" w:hAnsiTheme="majorHAnsi" w:cstheme="majorBidi"/>
        <w:b/>
        <w:caps/>
      </w:rPr>
      <w:t xml:space="preserve">                </w:t>
    </w:r>
    <w:r w:rsidR="00507E21" w:rsidRPr="00507E21">
      <w:rPr>
        <w:b/>
        <w:caps/>
      </w:rPr>
      <w:t>work in progress – draft for discussion purposes</w:t>
    </w:r>
    <w:r w:rsidR="00507E21">
      <w:rPr>
        <w:rFonts w:asciiTheme="majorHAnsi" w:eastAsiaTheme="majorEastAsia" w:hAnsiTheme="majorHAnsi" w:cstheme="majorBidi"/>
      </w:rPr>
      <w:ptab w:relativeTo="margin" w:alignment="right" w:leader="none"/>
    </w:r>
    <w:r w:rsidR="00507E21">
      <w:rPr>
        <w:rFonts w:asciiTheme="majorHAnsi" w:eastAsiaTheme="majorEastAsia" w:hAnsiTheme="majorHAnsi" w:cstheme="majorBidi"/>
      </w:rPr>
      <w:t>Page</w:t>
    </w:r>
    <w:r w:rsidR="00800BDF">
      <w:rPr>
        <w:rFonts w:asciiTheme="majorHAnsi" w:eastAsiaTheme="majorEastAsia" w:hAnsiTheme="majorHAnsi" w:cstheme="majorBidi"/>
      </w:rPr>
      <w:t xml:space="preserve"> </w:t>
    </w:r>
    <w:r w:rsidR="00507E21">
      <w:rPr>
        <w:rFonts w:asciiTheme="majorHAnsi" w:eastAsiaTheme="majorEastAsia" w:hAnsiTheme="majorHAnsi" w:cstheme="majorBidi"/>
      </w:rPr>
      <w:t xml:space="preserve"> </w:t>
    </w:r>
    <w:r w:rsidRPr="001E4215">
      <w:rPr>
        <w:rFonts w:asciiTheme="majorHAnsi" w:eastAsiaTheme="majorEastAsia" w:hAnsiTheme="majorHAnsi" w:cstheme="majorBidi"/>
      </w:rPr>
      <w:fldChar w:fldCharType="begin"/>
    </w:r>
    <w:r w:rsidRPr="001E4215">
      <w:rPr>
        <w:rFonts w:asciiTheme="majorHAnsi" w:eastAsiaTheme="majorEastAsia" w:hAnsiTheme="majorHAnsi" w:cstheme="majorBidi"/>
      </w:rPr>
      <w:instrText xml:space="preserve"> PAGE   \* MERGEFORMAT </w:instrText>
    </w:r>
    <w:r w:rsidRPr="001E4215">
      <w:rPr>
        <w:rFonts w:asciiTheme="majorHAnsi" w:eastAsiaTheme="majorEastAsia" w:hAnsiTheme="majorHAnsi" w:cstheme="majorBidi"/>
      </w:rPr>
      <w:fldChar w:fldCharType="separate"/>
    </w:r>
    <w:r w:rsidR="006B1B81">
      <w:rPr>
        <w:rFonts w:asciiTheme="majorHAnsi" w:eastAsiaTheme="majorEastAsia" w:hAnsiTheme="majorHAnsi" w:cstheme="majorBidi"/>
        <w:noProof/>
      </w:rPr>
      <w:t>20</w:t>
    </w:r>
    <w:r w:rsidRPr="001E4215">
      <w:rPr>
        <w:rFonts w:asciiTheme="majorHAnsi" w:eastAsiaTheme="majorEastAsia" w:hAnsiTheme="majorHAnsi" w:cstheme="majorBidi"/>
        <w:noProof/>
      </w:rPr>
      <w:fldChar w:fldCharType="end"/>
    </w:r>
  </w:p>
  <w:p w:rsidR="00507E21" w:rsidRDefault="00507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21" w:rsidRDefault="00E9441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November </w:t>
    </w:r>
    <w:r w:rsidR="00507E21">
      <w:rPr>
        <w:rFonts w:asciiTheme="majorHAnsi" w:eastAsiaTheme="majorEastAsia" w:hAnsiTheme="majorHAnsi" w:cstheme="majorBidi"/>
      </w:rPr>
      <w:t>3, 2017</w:t>
    </w:r>
    <w:r w:rsidR="00507E21" w:rsidRPr="00507E21">
      <w:t xml:space="preserve"> </w:t>
    </w:r>
    <w:r w:rsidR="00507E21">
      <w:t xml:space="preserve">                </w:t>
    </w:r>
    <w:r w:rsidR="00507E21" w:rsidRPr="00507E21">
      <w:rPr>
        <w:b/>
        <w:caps/>
      </w:rPr>
      <w:t>work in progress – draft for discussion purposes</w:t>
    </w:r>
    <w:r w:rsidR="00507E21">
      <w:rPr>
        <w:rFonts w:asciiTheme="majorHAnsi" w:eastAsiaTheme="majorEastAsia" w:hAnsiTheme="majorHAnsi" w:cstheme="majorBidi"/>
      </w:rPr>
      <w:ptab w:relativeTo="margin" w:alignment="right" w:leader="none"/>
    </w:r>
  </w:p>
  <w:p w:rsidR="00507E21" w:rsidRDefault="00507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202" w:rsidRDefault="00317202" w:rsidP="00507E21">
      <w:pPr>
        <w:spacing w:after="0" w:line="240" w:lineRule="auto"/>
      </w:pPr>
      <w:r>
        <w:separator/>
      </w:r>
    </w:p>
  </w:footnote>
  <w:footnote w:type="continuationSeparator" w:id="0">
    <w:p w:rsidR="00317202" w:rsidRDefault="00317202" w:rsidP="00507E21">
      <w:pPr>
        <w:spacing w:after="0" w:line="240" w:lineRule="auto"/>
      </w:pPr>
      <w:r>
        <w:continuationSeparator/>
      </w:r>
    </w:p>
  </w:footnote>
  <w:footnote w:id="1">
    <w:p w:rsidR="00507E21" w:rsidRPr="00253C33" w:rsidRDefault="00507E21" w:rsidP="00507E21">
      <w:pPr>
        <w:spacing w:after="0" w:line="240" w:lineRule="auto"/>
        <w:rPr>
          <w:sz w:val="20"/>
        </w:rPr>
      </w:pPr>
      <w:r w:rsidRPr="008A28CF">
        <w:rPr>
          <w:rStyle w:val="FootnoteReference"/>
        </w:rPr>
        <w:footnoteRef/>
      </w:r>
      <w:r w:rsidRPr="00253C33">
        <w:rPr>
          <w:sz w:val="20"/>
        </w:rPr>
        <w:t xml:space="preserve"> The considerable rate difference between rate-regulated investor-owned and unregulated municipal owned pole attachment rental rates underscores the ideas that many </w:t>
      </w:r>
      <w:r>
        <w:rPr>
          <w:sz w:val="20"/>
        </w:rPr>
        <w:t>localities</w:t>
      </w:r>
      <w:r w:rsidRPr="00253C33">
        <w:rPr>
          <w:sz w:val="20"/>
        </w:rPr>
        <w:t xml:space="preserve"> may be overcharging when it comes to ROW</w:t>
      </w:r>
      <w:r>
        <w:rPr>
          <w:sz w:val="20"/>
        </w:rPr>
        <w:t xml:space="preserve"> and use</w:t>
      </w:r>
      <w:r w:rsidRPr="00253C33">
        <w:rPr>
          <w:sz w:val="20"/>
        </w:rPr>
        <w:t xml:space="preserve"> fees.   </w:t>
      </w:r>
    </w:p>
    <w:p w:rsidR="00507E21" w:rsidRPr="00261598" w:rsidRDefault="00507E21" w:rsidP="00507E21">
      <w:pPr>
        <w:pStyle w:val="FootnoteText"/>
      </w:pPr>
    </w:p>
  </w:footnote>
  <w:footnote w:id="2">
    <w:p w:rsidR="00507E21" w:rsidRPr="001C2F6D" w:rsidRDefault="00507E21" w:rsidP="00507E21">
      <w:pPr>
        <w:pStyle w:val="FootnoteText"/>
        <w:rPr>
          <w:rFonts w:asciiTheme="minorHAnsi" w:hAnsiTheme="minorHAnsi"/>
        </w:rPr>
      </w:pPr>
      <w:r w:rsidRPr="001C2F6D">
        <w:rPr>
          <w:rStyle w:val="FootnoteReference"/>
          <w:rFonts w:asciiTheme="minorHAnsi" w:hAnsiTheme="minorHAnsi"/>
        </w:rPr>
        <w:footnoteRef/>
      </w:r>
      <w:r w:rsidRPr="001C2F6D">
        <w:rPr>
          <w:rFonts w:asciiTheme="minorHAnsi" w:hAnsiTheme="minorHAnsi"/>
        </w:rPr>
        <w:t xml:space="preserve"> Unless Congress extends Section 224 to government-owned assets — something the BDAC should consider — it has no relevance for this working group.</w:t>
      </w:r>
    </w:p>
  </w:footnote>
  <w:footnote w:id="3">
    <w:p w:rsidR="00507E21" w:rsidRPr="001C2F6D" w:rsidRDefault="00507E21" w:rsidP="00507E21">
      <w:pPr>
        <w:pStyle w:val="FootnoteText"/>
        <w:rPr>
          <w:rFonts w:asciiTheme="minorHAnsi" w:hAnsiTheme="minorHAnsi"/>
        </w:rPr>
      </w:pPr>
      <w:r w:rsidRPr="001C2F6D">
        <w:rPr>
          <w:rStyle w:val="FootnoteReference"/>
          <w:rFonts w:asciiTheme="minorHAnsi" w:hAnsiTheme="minorHAnsi"/>
        </w:rPr>
        <w:footnoteRef/>
      </w:r>
      <w:r w:rsidRPr="001C2F6D">
        <w:rPr>
          <w:rFonts w:asciiTheme="minorHAnsi" w:hAnsiTheme="minorHAnsi"/>
        </w:rPr>
        <w:t xml:space="preserve"> What constitutes a "prohibition" or "effective prohibition" is discussed below.</w:t>
      </w:r>
    </w:p>
  </w:footnote>
  <w:footnote w:id="4">
    <w:p w:rsidR="00507E21" w:rsidRPr="001C2F6D" w:rsidRDefault="00507E21" w:rsidP="00507E21">
      <w:pPr>
        <w:pStyle w:val="FootnoteText"/>
        <w:rPr>
          <w:rFonts w:asciiTheme="minorHAnsi" w:hAnsiTheme="minorHAnsi"/>
        </w:rPr>
      </w:pPr>
      <w:r w:rsidRPr="001C2F6D">
        <w:rPr>
          <w:rStyle w:val="FootnoteReference"/>
          <w:rFonts w:asciiTheme="minorHAnsi" w:hAnsiTheme="minorHAnsi"/>
        </w:rPr>
        <w:footnoteRef/>
      </w:r>
      <w:r w:rsidRPr="001C2F6D">
        <w:rPr>
          <w:rFonts w:asciiTheme="minorHAnsi" w:hAnsiTheme="minorHAnsi"/>
        </w:rPr>
        <w:t xml:space="preserve"> </w:t>
      </w:r>
      <w:r w:rsidRPr="001C2F6D">
        <w:rPr>
          <w:rFonts w:asciiTheme="minorHAnsi" w:hAnsiTheme="minorHAnsi"/>
          <w:i/>
          <w:iCs/>
        </w:rPr>
        <w:t>See Restoring Internet Freedom</w:t>
      </w:r>
      <w:r w:rsidRPr="001C2F6D">
        <w:rPr>
          <w:rFonts w:asciiTheme="minorHAnsi" w:hAnsiTheme="minorHAnsi"/>
        </w:rPr>
        <w:t xml:space="preserve">, Notice of Proposed Rulemaking, 32 FCC Rcd 4434 (2017), </w:t>
      </w:r>
      <w:hyperlink r:id="rId1" w:history="1">
        <w:r w:rsidRPr="001C2F6D">
          <w:rPr>
            <w:rStyle w:val="Hyperlink"/>
            <w:rFonts w:asciiTheme="minorHAnsi" w:eastAsia="Cambria" w:hAnsiTheme="minorHAnsi"/>
          </w:rPr>
          <w:t>https://apps.fcc.gov/edocs_public/attachmatch/FCC-17-60A1_Rcd.pdf</w:t>
        </w:r>
      </w:hyperlink>
      <w:r w:rsidRPr="001C2F6D">
        <w:rPr>
          <w:rFonts w:asciiTheme="minorHAnsi" w:hAnsiTheme="minorHAnsi"/>
        </w:rPr>
        <w:t xml:space="preserve"> (proposing “to restore the Internet to a light-touch regulatory framework by classifying broadband Internet access service as an information service.”). </w:t>
      </w:r>
    </w:p>
  </w:footnote>
  <w:footnote w:id="5">
    <w:p w:rsidR="00507E21" w:rsidRPr="00261598" w:rsidRDefault="00507E21" w:rsidP="00507E21">
      <w:pPr>
        <w:pStyle w:val="FootnoteText"/>
      </w:pPr>
      <w:r w:rsidRPr="001C2F6D">
        <w:rPr>
          <w:rStyle w:val="FootnoteReference"/>
          <w:rFonts w:asciiTheme="minorHAnsi" w:hAnsiTheme="minorHAnsi"/>
        </w:rPr>
        <w:footnoteRef/>
      </w:r>
      <w:r w:rsidRPr="001C2F6D">
        <w:rPr>
          <w:rFonts w:asciiTheme="minorHAnsi" w:hAnsiTheme="minorHAnsi"/>
        </w:rPr>
        <w:t xml:space="preserve"> As the Ninth Circuit ruled in 2008, “[u]nder both [Sections 253(a) and 332(c)(7)(B)(i)(II)], a plaintiff must establish either an outright prohibition or an effective prohibition on the provision of telecommunications services; a plaintiffs showing that a locality could potentially prohibit the provision of telecomm</w:t>
      </w:r>
      <w:r w:rsidRPr="001C2F6D">
        <w:rPr>
          <w:rFonts w:asciiTheme="minorHAnsi" w:hAnsiTheme="minorHAnsi"/>
        </w:rPr>
        <w:softHyphen/>
        <w:t xml:space="preserve">unications services is insufficient.” </w:t>
      </w:r>
      <w:r w:rsidRPr="001C2F6D">
        <w:rPr>
          <w:rFonts w:asciiTheme="minorHAnsi" w:hAnsiTheme="minorHAnsi"/>
          <w:i/>
          <w:iCs/>
        </w:rPr>
        <w:t>See Sprint Telephony</w:t>
      </w:r>
      <w:r w:rsidRPr="001C2F6D">
        <w:rPr>
          <w:rFonts w:asciiTheme="minorHAnsi" w:hAnsiTheme="minorHAnsi"/>
        </w:rPr>
        <w:t xml:space="preserve"> </w:t>
      </w:r>
      <w:r w:rsidRPr="001C2F6D">
        <w:rPr>
          <w:rFonts w:asciiTheme="minorHAnsi" w:hAnsiTheme="minorHAnsi"/>
          <w:i/>
          <w:iCs/>
        </w:rPr>
        <w:t>v. San Diego</w:t>
      </w:r>
      <w:r w:rsidRPr="001C2F6D">
        <w:rPr>
          <w:rFonts w:asciiTheme="minorHAnsi" w:hAnsiTheme="minorHAnsi"/>
        </w:rPr>
        <w:t>, 543 F.3d 571, 577 (9</w:t>
      </w:r>
      <w:r w:rsidRPr="001C2F6D">
        <w:rPr>
          <w:rFonts w:asciiTheme="minorHAnsi" w:hAnsiTheme="minorHAnsi"/>
          <w:vertAlign w:val="superscript"/>
        </w:rPr>
        <w:t>th</w:t>
      </w:r>
      <w:r w:rsidRPr="001C2F6D">
        <w:rPr>
          <w:rFonts w:asciiTheme="minorHAnsi" w:hAnsiTheme="minorHAnsi"/>
        </w:rPr>
        <w:t xml:space="preserve"> Cir. 2008) (overruling </w:t>
      </w:r>
      <w:r w:rsidRPr="001C2F6D">
        <w:rPr>
          <w:rFonts w:asciiTheme="minorHAnsi" w:hAnsiTheme="minorHAnsi"/>
          <w:i/>
          <w:iCs/>
        </w:rPr>
        <w:t xml:space="preserve">City of Auburn v. Qwest </w:t>
      </w:r>
      <w:r w:rsidRPr="001C2F6D">
        <w:rPr>
          <w:rFonts w:asciiTheme="minorHAnsi" w:hAnsiTheme="minorHAnsi"/>
        </w:rPr>
        <w:t>Corp</w:t>
      </w:r>
      <w:r w:rsidRPr="001C2F6D">
        <w:rPr>
          <w:rFonts w:asciiTheme="minorHAnsi" w:hAnsiTheme="minorHAnsi"/>
          <w:i/>
          <w:iCs/>
        </w:rPr>
        <w:t>.</w:t>
      </w:r>
      <w:r w:rsidRPr="001C2F6D">
        <w:rPr>
          <w:rFonts w:asciiTheme="minorHAnsi" w:hAnsiTheme="minorHAnsi"/>
        </w:rPr>
        <w:t>, 385 F.3d 1236 (9</w:t>
      </w:r>
      <w:r w:rsidRPr="001C2F6D">
        <w:rPr>
          <w:rFonts w:asciiTheme="minorHAnsi" w:hAnsiTheme="minorHAnsi"/>
          <w:vertAlign w:val="superscript"/>
        </w:rPr>
        <w:t>th</w:t>
      </w:r>
      <w:r w:rsidRPr="001C2F6D">
        <w:rPr>
          <w:rFonts w:asciiTheme="minorHAnsi" w:hAnsiTheme="minorHAnsi"/>
        </w:rPr>
        <w:t xml:space="preserve"> Cir. 2004) (quoting </w:t>
      </w:r>
      <w:r w:rsidRPr="001C2F6D">
        <w:rPr>
          <w:rFonts w:asciiTheme="minorHAnsi" w:hAnsiTheme="minorHAnsi"/>
          <w:i/>
          <w:iCs/>
        </w:rPr>
        <w:t>Level 3 Commc'ns, L.L.C v. City of St. Louis</w:t>
      </w:r>
      <w:r w:rsidRPr="001C2F6D">
        <w:rPr>
          <w:rFonts w:asciiTheme="minorHAnsi" w:hAnsiTheme="minorHAnsi"/>
        </w:rPr>
        <w:t>, 477 F.3d 528, 532 (8th Cir. 2007)).</w:t>
      </w:r>
    </w:p>
  </w:footnote>
  <w:footnote w:id="6">
    <w:p w:rsidR="00507E21" w:rsidRPr="001C2F6D" w:rsidRDefault="00507E21" w:rsidP="00507E21">
      <w:pPr>
        <w:pStyle w:val="FootnoteText"/>
        <w:rPr>
          <w:rFonts w:asciiTheme="minorHAnsi" w:hAnsiTheme="minorHAnsi"/>
        </w:rPr>
      </w:pPr>
      <w:r w:rsidRPr="001C2F6D">
        <w:rPr>
          <w:rStyle w:val="FootnoteReference"/>
          <w:rFonts w:asciiTheme="minorHAnsi" w:hAnsiTheme="minorHAnsi"/>
        </w:rPr>
        <w:footnoteRef/>
      </w:r>
      <w:r w:rsidRPr="001C2F6D">
        <w:rPr>
          <w:rFonts w:asciiTheme="minorHAnsi" w:hAnsiTheme="minorHAnsi"/>
        </w:rPr>
        <w:t xml:space="preserve"> </w:t>
      </w:r>
      <w:r w:rsidRPr="001C2F6D">
        <w:rPr>
          <w:rFonts w:asciiTheme="minorHAnsi" w:hAnsiTheme="minorHAnsi"/>
          <w:i/>
          <w:iCs/>
        </w:rPr>
        <w:t xml:space="preserve">Acceleration of Broadband Deployment by Improving Wireless Facilities Siting Policies, </w:t>
      </w:r>
      <w:r w:rsidRPr="001C2F6D">
        <w:rPr>
          <w:rFonts w:asciiTheme="minorHAnsi" w:hAnsiTheme="minorHAnsi"/>
        </w:rPr>
        <w:t xml:space="preserve">Report and Order, 29 FCC Rcd 12865, 12964-65, ¶¶ 239-40 (2014), https://apps.fcc.gov/edocs_public/attachmatch/FCC-14-153A1_Rcd.pdf [hereinafter 2014 Infrastructure Order] (concluding that “Section 6409(a) applies only to State and local governments acting in their role as land use regulators and does not apply to such entities acting in their proprietary capacities…. We find that this conclusion is consistent with judicial decisions holding that Sections 253 and 332(c)(7) of the Communications Act do not preempt ‘non regulatory decisions of a state or locality acting in its proprietary capacity.’”) (quoting </w:t>
      </w:r>
      <w:r w:rsidRPr="001C2F6D">
        <w:rPr>
          <w:rFonts w:asciiTheme="minorHAnsi" w:hAnsiTheme="minorHAnsi"/>
          <w:i/>
          <w:iCs/>
        </w:rPr>
        <w:t>Qwest Corp. v. City of Portland</w:t>
      </w:r>
      <w:r w:rsidRPr="001C2F6D">
        <w:rPr>
          <w:rFonts w:asciiTheme="minorHAnsi" w:hAnsiTheme="minorHAnsi"/>
        </w:rPr>
        <w:t xml:space="preserve">, 385 F.3d 1236, 1240 (9th Cir. 2004) (recognizing that Section 253(a) preempts only “regulatory schemes”); </w:t>
      </w:r>
      <w:r w:rsidRPr="001C2F6D">
        <w:rPr>
          <w:rFonts w:asciiTheme="minorHAnsi" w:hAnsiTheme="minorHAnsi"/>
          <w:i/>
          <w:iCs/>
        </w:rPr>
        <w:t>Sprint Spectrum v. Mills</w:t>
      </w:r>
      <w:r w:rsidRPr="001C2F6D">
        <w:rPr>
          <w:rFonts w:asciiTheme="minorHAnsi" w:hAnsiTheme="minorHAnsi"/>
        </w:rPr>
        <w:t xml:space="preserve">, 283 F.3d 404, 421 (2d Cir. 2002) (finding that Section 332(c)(7) “does not preempt nonregulatory decisions of a local governmental entity or instrumentality acting in its proprietary capacity”)). </w:t>
      </w:r>
    </w:p>
  </w:footnote>
  <w:footnote w:id="7">
    <w:p w:rsidR="00507E21" w:rsidRPr="007D4801" w:rsidRDefault="00507E21" w:rsidP="00507E21">
      <w:pPr>
        <w:pStyle w:val="FootnoteText"/>
      </w:pPr>
      <w:r w:rsidRPr="001C2F6D">
        <w:rPr>
          <w:rStyle w:val="FootnoteReference"/>
          <w:rFonts w:asciiTheme="minorHAnsi" w:hAnsiTheme="minorHAnsi"/>
        </w:rPr>
        <w:footnoteRef/>
      </w:r>
      <w:r w:rsidRPr="001C2F6D">
        <w:rPr>
          <w:rFonts w:asciiTheme="minorHAnsi" w:hAnsiTheme="minorHAnsi"/>
        </w:rPr>
        <w:t xml:space="preserve"> </w:t>
      </w:r>
      <w:r w:rsidRPr="001C2F6D">
        <w:rPr>
          <w:rFonts w:asciiTheme="minorHAnsi" w:hAnsiTheme="minorHAnsi"/>
          <w:i/>
          <w:iCs/>
        </w:rPr>
        <w:t>Accelerating Wireless Broadband Deployment by Removing Barriers to Infrastructure Investment</w:t>
      </w:r>
      <w:r w:rsidRPr="001C2F6D">
        <w:rPr>
          <w:rFonts w:asciiTheme="minorHAnsi" w:hAnsiTheme="minorHAnsi"/>
        </w:rPr>
        <w:t xml:space="preserve">, Notice of Proposed Rulemaking and Notice of Inquiry, 32 FCC Rcd 3330, 3364-65, ¶ 95-96 (2017), </w:t>
      </w:r>
      <w:hyperlink r:id="rId2" w:history="1">
        <w:r w:rsidRPr="001C2F6D">
          <w:rPr>
            <w:rStyle w:val="Hyperlink"/>
            <w:rFonts w:asciiTheme="minorHAnsi" w:eastAsia="Cambria" w:hAnsiTheme="minorHAnsi"/>
          </w:rPr>
          <w:t>https://apps.fcc.gov/edocs_public/attachmatch/FCC-17-38A1_Rcd.pdf</w:t>
        </w:r>
      </w:hyperlink>
      <w:r w:rsidRPr="001C2F6D">
        <w:rPr>
          <w:rFonts w:asciiTheme="minorHAnsi" w:hAnsiTheme="minorHAnsi"/>
        </w:rPr>
        <w:t xml:space="preserve"> [hereinafter 2017 Wireless Infrastructure NOI] (“We also seek comment on the extent to which [Section 253(a) and 332(c)(7)] apply to States and localities acting in a proprietary versus regulatory capacity, and on what constitutes a proprietary capacity.”).</w:t>
      </w:r>
      <w:r w:rsidRPr="00261598">
        <w:t xml:space="preserve"> </w:t>
      </w:r>
    </w:p>
  </w:footnote>
  <w:footnote w:id="8">
    <w:p w:rsidR="00507E21" w:rsidRPr="001C2F6D" w:rsidRDefault="00507E21" w:rsidP="00507E21">
      <w:pPr>
        <w:pStyle w:val="FootnoteText"/>
        <w:rPr>
          <w:rFonts w:asciiTheme="minorHAnsi" w:hAnsiTheme="minorHAnsi"/>
          <w:i/>
          <w:iCs/>
        </w:rPr>
      </w:pPr>
      <w:r w:rsidRPr="001C2F6D">
        <w:rPr>
          <w:rStyle w:val="FootnoteReference"/>
          <w:rFonts w:asciiTheme="minorHAnsi" w:hAnsiTheme="minorHAnsi"/>
        </w:rPr>
        <w:footnoteRef/>
      </w:r>
      <w:r w:rsidRPr="001C2F6D">
        <w:rPr>
          <w:rFonts w:asciiTheme="minorHAnsi" w:hAnsiTheme="minorHAnsi"/>
        </w:rPr>
        <w:t xml:space="preserve"> Numerous barriers cited in other sections of this report highlight these kinds of shortcomings in cities and towns </w:t>
      </w:r>
      <w:r w:rsidRPr="00F41DDA">
        <w:rPr>
          <w:rFonts w:asciiTheme="minorHAnsi" w:hAnsiTheme="minorHAnsi"/>
        </w:rPr>
        <w:t xml:space="preserve">across the country. </w:t>
      </w:r>
      <w:r w:rsidRPr="00253C33">
        <w:rPr>
          <w:rFonts w:asciiTheme="minorHAnsi" w:hAnsiTheme="minorHAnsi"/>
          <w:i/>
          <w:iCs/>
        </w:rPr>
        <w:t>See, e.g Ambiguity</w:t>
      </w:r>
      <w:r>
        <w:rPr>
          <w:rFonts w:asciiTheme="minorHAnsi" w:hAnsiTheme="minorHAnsi"/>
          <w:i/>
          <w:iCs/>
        </w:rPr>
        <w:t xml:space="preserve"> </w:t>
      </w:r>
      <w:r w:rsidRPr="00253C33">
        <w:rPr>
          <w:rFonts w:asciiTheme="minorHAnsi" w:hAnsiTheme="minorHAnsi"/>
          <w:i/>
          <w:iCs/>
        </w:rPr>
        <w:t>Barrier</w:t>
      </w:r>
      <w:r>
        <w:rPr>
          <w:rFonts w:asciiTheme="minorHAnsi" w:hAnsiTheme="minorHAnsi"/>
          <w:i/>
          <w:iCs/>
        </w:rPr>
        <w:t xml:space="preserve"> Appendix</w:t>
      </w:r>
      <w:r w:rsidRPr="00253C33">
        <w:rPr>
          <w:rFonts w:asciiTheme="minorHAnsi" w:hAnsiTheme="minorHAnsi"/>
        </w:rPr>
        <w:t>.</w:t>
      </w:r>
    </w:p>
  </w:footnote>
  <w:footnote w:id="9">
    <w:p w:rsidR="00507E21" w:rsidRPr="001C2F6D" w:rsidRDefault="00507E21" w:rsidP="00507E21">
      <w:pPr>
        <w:pStyle w:val="FootnoteText"/>
        <w:rPr>
          <w:rFonts w:asciiTheme="minorHAnsi" w:hAnsiTheme="minorHAnsi"/>
        </w:rPr>
      </w:pPr>
      <w:r w:rsidRPr="00F41DDA">
        <w:rPr>
          <w:rStyle w:val="FootnoteReference"/>
          <w:rFonts w:asciiTheme="minorHAnsi" w:hAnsiTheme="minorHAnsi"/>
        </w:rPr>
        <w:footnoteRef/>
      </w:r>
      <w:r w:rsidRPr="00253C33">
        <w:rPr>
          <w:rFonts w:asciiTheme="minorHAnsi" w:hAnsiTheme="minorHAnsi"/>
        </w:rPr>
        <w:t xml:space="preserve"> These kinds of practices are discussed elsewhere in this report. </w:t>
      </w:r>
      <w:r w:rsidRPr="00253C33">
        <w:rPr>
          <w:rFonts w:asciiTheme="minorHAnsi" w:hAnsiTheme="minorHAnsi"/>
          <w:i/>
          <w:iCs/>
        </w:rPr>
        <w:t xml:space="preserve">See, </w:t>
      </w:r>
      <w:r w:rsidRPr="00F41DDA">
        <w:rPr>
          <w:rFonts w:asciiTheme="minorHAnsi" w:hAnsiTheme="minorHAnsi"/>
          <w:i/>
          <w:iCs/>
        </w:rPr>
        <w:t>e.g. Excessive</w:t>
      </w:r>
      <w:r w:rsidRPr="00253C33">
        <w:rPr>
          <w:rFonts w:asciiTheme="minorHAnsi" w:hAnsiTheme="minorHAnsi"/>
          <w:i/>
          <w:iCs/>
        </w:rPr>
        <w:t xml:space="preserve"> Fees Appendix</w:t>
      </w:r>
      <w:r w:rsidRPr="00253C33">
        <w:rPr>
          <w:rFonts w:asciiTheme="minorHAnsi" w:hAnsiTheme="minorHAnsi"/>
        </w:rPr>
        <w:t>.</w:t>
      </w:r>
    </w:p>
  </w:footnote>
  <w:footnote w:id="10">
    <w:p w:rsidR="00507E21" w:rsidRPr="001C2F6D" w:rsidRDefault="00507E21" w:rsidP="00507E21">
      <w:pPr>
        <w:pStyle w:val="FootnoteText"/>
        <w:rPr>
          <w:rFonts w:asciiTheme="minorHAnsi" w:hAnsiTheme="minorHAnsi"/>
        </w:rPr>
      </w:pPr>
      <w:r w:rsidRPr="001C2F6D">
        <w:rPr>
          <w:rStyle w:val="FootnoteReference"/>
          <w:rFonts w:asciiTheme="minorHAnsi" w:hAnsiTheme="minorHAnsi"/>
        </w:rPr>
        <w:footnoteRef/>
      </w:r>
      <w:r w:rsidRPr="001C2F6D">
        <w:rPr>
          <w:rFonts w:asciiTheme="minorHAnsi" w:hAnsiTheme="minorHAnsi"/>
        </w:rPr>
        <w:t xml:space="preserve"> One example that has been documented by this Working Group is in the provision of Wi-Fi services. Some wireless providers have agreed to deploy such services as part of an agreement around 5G deployments. Others, however, have balked at city requests for such services. [</w:t>
      </w:r>
      <w:r>
        <w:rPr>
          <w:rFonts w:asciiTheme="minorHAnsi" w:hAnsiTheme="minorHAnsi"/>
          <w:i/>
        </w:rPr>
        <w:t>See Inflexibility Appendix</w:t>
      </w:r>
      <w:r w:rsidRPr="001C2F6D">
        <w:rPr>
          <w:rFonts w:asciiTheme="minorHAnsi" w:hAnsiTheme="minorHAnsi"/>
        </w:rPr>
        <w:t>]</w:t>
      </w:r>
    </w:p>
  </w:footnote>
  <w:footnote w:id="11">
    <w:p w:rsidR="00507E21" w:rsidRPr="00261598" w:rsidRDefault="00507E21" w:rsidP="00507E21">
      <w:pPr>
        <w:pStyle w:val="FootnoteText"/>
      </w:pPr>
      <w:r w:rsidRPr="001C2F6D">
        <w:rPr>
          <w:rStyle w:val="FootnoteReference"/>
          <w:rFonts w:asciiTheme="minorHAnsi" w:hAnsiTheme="minorHAnsi"/>
        </w:rPr>
        <w:footnoteRef/>
      </w:r>
      <w:r w:rsidRPr="001C2F6D">
        <w:rPr>
          <w:rFonts w:asciiTheme="minorHAnsi" w:hAnsiTheme="minorHAnsi"/>
        </w:rPr>
        <w:t xml:space="preserve"> For additional discussion and recommendations for addressing these specific issues, </w:t>
      </w:r>
      <w:r w:rsidRPr="00253C33">
        <w:rPr>
          <w:rFonts w:asciiTheme="minorHAnsi" w:hAnsiTheme="minorHAnsi"/>
          <w:i/>
          <w:iCs/>
        </w:rPr>
        <w:t>see Excessive Fees Appendix</w:t>
      </w:r>
      <w:r w:rsidRPr="00253C33">
        <w:rPr>
          <w:rFonts w:asciiTheme="minorHAnsi" w:hAnsiTheme="minorHAnsi"/>
        </w:rPr>
        <w:t>.</w:t>
      </w:r>
    </w:p>
  </w:footnote>
  <w:footnote w:id="12">
    <w:p w:rsidR="00507E21" w:rsidRPr="001C2F6D" w:rsidRDefault="00507E21" w:rsidP="00507E21">
      <w:pPr>
        <w:pStyle w:val="FootnoteText"/>
        <w:rPr>
          <w:rFonts w:asciiTheme="minorHAnsi" w:hAnsiTheme="minorHAnsi"/>
        </w:rPr>
      </w:pPr>
      <w:r w:rsidRPr="001C2F6D">
        <w:rPr>
          <w:rStyle w:val="FootnoteReference"/>
          <w:rFonts w:asciiTheme="minorHAnsi" w:hAnsiTheme="minorHAnsi"/>
        </w:rPr>
        <w:footnoteRef/>
      </w:r>
      <w:r w:rsidRPr="001C2F6D">
        <w:rPr>
          <w:rFonts w:asciiTheme="minorHAnsi" w:hAnsiTheme="minorHAnsi"/>
        </w:rPr>
        <w:t xml:space="preserve"> Among other things, this would be consistent with the FCC’s duty under Section 706 of the 1996 Telecommunications Act to “encourage the deployment on a reasonable and timely basis of advanced telecommunications capability to all Americans.”</w:t>
      </w:r>
    </w:p>
  </w:footnote>
  <w:footnote w:id="13">
    <w:p w:rsidR="00507E21" w:rsidRPr="001C2F6D" w:rsidRDefault="00507E21" w:rsidP="00507E21">
      <w:pPr>
        <w:pStyle w:val="FootnoteText"/>
        <w:rPr>
          <w:rFonts w:asciiTheme="minorHAnsi" w:hAnsiTheme="minorHAnsi"/>
        </w:rPr>
      </w:pPr>
      <w:r w:rsidRPr="001C2F6D">
        <w:rPr>
          <w:rStyle w:val="FootnoteReference"/>
          <w:rFonts w:asciiTheme="minorHAnsi" w:hAnsiTheme="minorHAnsi"/>
        </w:rPr>
        <w:footnoteRef/>
      </w:r>
      <w:r w:rsidRPr="001C2F6D">
        <w:rPr>
          <w:rFonts w:asciiTheme="minorHAnsi" w:hAnsiTheme="minorHAnsi"/>
        </w:rPr>
        <w:t xml:space="preserve"> Section 332(c) governing wireless siting applications (</w:t>
      </w:r>
      <w:r w:rsidRPr="001C2F6D">
        <w:rPr>
          <w:rFonts w:asciiTheme="minorHAnsi" w:hAnsiTheme="minorHAnsi"/>
          <w:i/>
          <w:iCs/>
        </w:rPr>
        <w:t>e.g.</w:t>
      </w:r>
      <w:r w:rsidRPr="001C2F6D">
        <w:rPr>
          <w:rFonts w:asciiTheme="minorHAnsi" w:hAnsiTheme="minorHAnsi"/>
        </w:rPr>
        <w:t>, on private buildings) applies only to discrimination among “providers of functionally equivalent services,” while Section 253(c), governing “use of public rights-of-way” generally, contains no such requirement. Even so, any assessment of the reasonableness of discrimination among providers will inevitably turn on how comparable they are. The Commission might conclude that the latter statute sets a lower bar for comparable-ness than the former, but will still have to assess how apples-to-apples the</w:t>
      </w:r>
      <w:r w:rsidRPr="00261598">
        <w:t xml:space="preserve"> </w:t>
      </w:r>
      <w:r w:rsidRPr="001C2F6D">
        <w:rPr>
          <w:rFonts w:asciiTheme="minorHAnsi" w:hAnsiTheme="minorHAnsi"/>
        </w:rPr>
        <w:t>comparison is before deciding whether differences in the rates or terms offered to one provider but not the other should be unlawful.</w:t>
      </w:r>
    </w:p>
  </w:footnote>
  <w:footnote w:id="14">
    <w:p w:rsidR="00507E21" w:rsidRPr="00261598" w:rsidRDefault="00507E21" w:rsidP="00507E21">
      <w:pPr>
        <w:pStyle w:val="FootnoteText"/>
      </w:pPr>
      <w:r w:rsidRPr="001C2F6D">
        <w:rPr>
          <w:rStyle w:val="FootnoteReference"/>
          <w:rFonts w:asciiTheme="minorHAnsi" w:hAnsiTheme="minorHAnsi"/>
        </w:rPr>
        <w:footnoteRef/>
      </w:r>
      <w:r w:rsidRPr="001C2F6D">
        <w:rPr>
          <w:rFonts w:asciiTheme="minorHAnsi" w:hAnsiTheme="minorHAnsi"/>
        </w:rPr>
        <w:t xml:space="preserve"> </w:t>
      </w:r>
      <w:r>
        <w:rPr>
          <w:rFonts w:asciiTheme="minorHAnsi" w:hAnsiTheme="minorHAnsi"/>
        </w:rPr>
        <w:t>See Discrimination Appendix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21" w:rsidRDefault="006B1B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22838" o:spid="_x0000_s2054" type="#_x0000_t136" style="position:absolute;margin-left:0;margin-top:0;width:412.4pt;height:247.45pt;rotation:315;z-index:-251655168;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21" w:rsidRDefault="006B1B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22839" o:spid="_x0000_s2055" type="#_x0000_t136" style="position:absolute;margin-left:0;margin-top:0;width:412.4pt;height:247.45pt;rotation:315;z-index:-251653120;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21" w:rsidRDefault="006B1B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22837" o:spid="_x0000_s2053" type="#_x0000_t136" style="position:absolute;margin-left:0;margin-top:0;width:412.4pt;height:247.45pt;rotation:315;z-index:-251657216;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A5403"/>
    <w:multiLevelType w:val="hybridMultilevel"/>
    <w:tmpl w:val="84B469D0"/>
    <w:lvl w:ilvl="0" w:tplc="C7EAE56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D1E8B"/>
    <w:multiLevelType w:val="multilevel"/>
    <w:tmpl w:val="CBD0A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61323"/>
    <w:multiLevelType w:val="multilevel"/>
    <w:tmpl w:val="8D987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64F6D"/>
    <w:multiLevelType w:val="multilevel"/>
    <w:tmpl w:val="BAB6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A19E0"/>
    <w:multiLevelType w:val="hybridMultilevel"/>
    <w:tmpl w:val="ADD0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60A07"/>
    <w:multiLevelType w:val="multilevel"/>
    <w:tmpl w:val="A6080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0715BB"/>
    <w:multiLevelType w:val="multilevel"/>
    <w:tmpl w:val="A4222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42520E"/>
    <w:multiLevelType w:val="multilevel"/>
    <w:tmpl w:val="5F221A80"/>
    <w:lvl w:ilvl="0">
      <w:start w:val="1"/>
      <w:numFmt w:val="lowerLetter"/>
      <w:lvlText w:val="%1."/>
      <w:lvlJc w:val="left"/>
      <w:pPr>
        <w:ind w:left="1080" w:hanging="360"/>
      </w:pPr>
      <w:rPr>
        <w:rFont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 w15:restartNumberingAfterBreak="0">
    <w:nsid w:val="2D3C21AB"/>
    <w:multiLevelType w:val="multilevel"/>
    <w:tmpl w:val="9F58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174B2"/>
    <w:multiLevelType w:val="hybridMultilevel"/>
    <w:tmpl w:val="37842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06840"/>
    <w:multiLevelType w:val="hybridMultilevel"/>
    <w:tmpl w:val="7308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AC371D"/>
    <w:multiLevelType w:val="hybridMultilevel"/>
    <w:tmpl w:val="03482880"/>
    <w:lvl w:ilvl="0" w:tplc="3EAC9EF6">
      <w:start w:val="1"/>
      <w:numFmt w:val="bullet"/>
      <w:lvlText w:val=""/>
      <w:lvlJc w:val="left"/>
      <w:pPr>
        <w:ind w:left="720" w:hanging="360"/>
      </w:pPr>
      <w:rPr>
        <w:rFonts w:ascii="Symbol" w:hAnsi="Symbol" w:hint="default"/>
      </w:rPr>
    </w:lvl>
    <w:lvl w:ilvl="1" w:tplc="E7D44638">
      <w:start w:val="1"/>
      <w:numFmt w:val="bullet"/>
      <w:lvlText w:val="o"/>
      <w:lvlJc w:val="left"/>
      <w:pPr>
        <w:ind w:left="1440" w:hanging="360"/>
      </w:pPr>
      <w:rPr>
        <w:rFonts w:ascii="Courier New" w:hAnsi="Courier New" w:hint="default"/>
      </w:rPr>
    </w:lvl>
    <w:lvl w:ilvl="2" w:tplc="49F215C4">
      <w:start w:val="1"/>
      <w:numFmt w:val="bullet"/>
      <w:lvlText w:val=""/>
      <w:lvlJc w:val="left"/>
      <w:pPr>
        <w:ind w:left="2160" w:hanging="360"/>
      </w:pPr>
      <w:rPr>
        <w:rFonts w:ascii="Wingdings" w:hAnsi="Wingdings" w:hint="default"/>
      </w:rPr>
    </w:lvl>
    <w:lvl w:ilvl="3" w:tplc="77FEDA7E">
      <w:start w:val="1"/>
      <w:numFmt w:val="bullet"/>
      <w:lvlText w:val=""/>
      <w:lvlJc w:val="left"/>
      <w:pPr>
        <w:ind w:left="2880" w:hanging="360"/>
      </w:pPr>
      <w:rPr>
        <w:rFonts w:ascii="Symbol" w:hAnsi="Symbol" w:hint="default"/>
      </w:rPr>
    </w:lvl>
    <w:lvl w:ilvl="4" w:tplc="CB7A952A">
      <w:start w:val="1"/>
      <w:numFmt w:val="bullet"/>
      <w:lvlText w:val="o"/>
      <w:lvlJc w:val="left"/>
      <w:pPr>
        <w:ind w:left="3600" w:hanging="360"/>
      </w:pPr>
      <w:rPr>
        <w:rFonts w:ascii="Courier New" w:hAnsi="Courier New" w:hint="default"/>
      </w:rPr>
    </w:lvl>
    <w:lvl w:ilvl="5" w:tplc="F6F83592">
      <w:start w:val="1"/>
      <w:numFmt w:val="bullet"/>
      <w:lvlText w:val=""/>
      <w:lvlJc w:val="left"/>
      <w:pPr>
        <w:ind w:left="4320" w:hanging="360"/>
      </w:pPr>
      <w:rPr>
        <w:rFonts w:ascii="Wingdings" w:hAnsi="Wingdings" w:hint="default"/>
      </w:rPr>
    </w:lvl>
    <w:lvl w:ilvl="6" w:tplc="80466D36">
      <w:start w:val="1"/>
      <w:numFmt w:val="bullet"/>
      <w:lvlText w:val=""/>
      <w:lvlJc w:val="left"/>
      <w:pPr>
        <w:ind w:left="5040" w:hanging="360"/>
      </w:pPr>
      <w:rPr>
        <w:rFonts w:ascii="Symbol" w:hAnsi="Symbol" w:hint="default"/>
      </w:rPr>
    </w:lvl>
    <w:lvl w:ilvl="7" w:tplc="16D8D636">
      <w:start w:val="1"/>
      <w:numFmt w:val="bullet"/>
      <w:lvlText w:val="o"/>
      <w:lvlJc w:val="left"/>
      <w:pPr>
        <w:ind w:left="5760" w:hanging="360"/>
      </w:pPr>
      <w:rPr>
        <w:rFonts w:ascii="Courier New" w:hAnsi="Courier New" w:hint="default"/>
      </w:rPr>
    </w:lvl>
    <w:lvl w:ilvl="8" w:tplc="7BBAEEEA">
      <w:start w:val="1"/>
      <w:numFmt w:val="bullet"/>
      <w:lvlText w:val=""/>
      <w:lvlJc w:val="left"/>
      <w:pPr>
        <w:ind w:left="6480" w:hanging="360"/>
      </w:pPr>
      <w:rPr>
        <w:rFonts w:ascii="Wingdings" w:hAnsi="Wingdings" w:hint="default"/>
      </w:rPr>
    </w:lvl>
  </w:abstractNum>
  <w:abstractNum w:abstractNumId="12" w15:restartNumberingAfterBreak="0">
    <w:nsid w:val="48CF660F"/>
    <w:multiLevelType w:val="hybridMultilevel"/>
    <w:tmpl w:val="134CB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EA724F"/>
    <w:multiLevelType w:val="hybridMultilevel"/>
    <w:tmpl w:val="40625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724B5"/>
    <w:multiLevelType w:val="hybridMultilevel"/>
    <w:tmpl w:val="E612D8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F5AD0"/>
    <w:multiLevelType w:val="hybridMultilevel"/>
    <w:tmpl w:val="81BED5A6"/>
    <w:lvl w:ilvl="0" w:tplc="57523894">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F94AD0"/>
    <w:multiLevelType w:val="multilevel"/>
    <w:tmpl w:val="AE7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C723D"/>
    <w:multiLevelType w:val="hybridMultilevel"/>
    <w:tmpl w:val="9E9A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062CC1"/>
    <w:multiLevelType w:val="multilevel"/>
    <w:tmpl w:val="4EE8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71ACD"/>
    <w:multiLevelType w:val="hybridMultilevel"/>
    <w:tmpl w:val="DD48982C"/>
    <w:lvl w:ilvl="0" w:tplc="575238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01D4A"/>
    <w:multiLevelType w:val="hybridMultilevel"/>
    <w:tmpl w:val="99061BE0"/>
    <w:lvl w:ilvl="0" w:tplc="F0244784">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CC3C22"/>
    <w:multiLevelType w:val="hybridMultilevel"/>
    <w:tmpl w:val="218E94A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60C80"/>
    <w:multiLevelType w:val="hybridMultilevel"/>
    <w:tmpl w:val="82CA0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843BD"/>
    <w:multiLevelType w:val="hybridMultilevel"/>
    <w:tmpl w:val="02DC10E0"/>
    <w:lvl w:ilvl="0" w:tplc="7E8E6BB2">
      <w:start w:val="1"/>
      <w:numFmt w:val="decimal"/>
      <w:lvlText w:val="%1."/>
      <w:lvlJc w:val="left"/>
      <w:pPr>
        <w:ind w:left="360" w:hanging="360"/>
      </w:pPr>
      <w:rPr>
        <w:rFonts w:hint="default"/>
        <w:b w:val="0"/>
        <w:i w:val="0"/>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C55B33"/>
    <w:multiLevelType w:val="multilevel"/>
    <w:tmpl w:val="F534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F575CF"/>
    <w:multiLevelType w:val="hybridMultilevel"/>
    <w:tmpl w:val="930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B4D54"/>
    <w:multiLevelType w:val="hybridMultilevel"/>
    <w:tmpl w:val="C2026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9"/>
  </w:num>
  <w:num w:numId="3">
    <w:abstractNumId w:val="21"/>
  </w:num>
  <w:num w:numId="4">
    <w:abstractNumId w:val="15"/>
  </w:num>
  <w:num w:numId="5">
    <w:abstractNumId w:val="0"/>
  </w:num>
  <w:num w:numId="6">
    <w:abstractNumId w:val="7"/>
  </w:num>
  <w:num w:numId="7">
    <w:abstractNumId w:val="6"/>
  </w:num>
  <w:num w:numId="8">
    <w:abstractNumId w:val="5"/>
  </w:num>
  <w:num w:numId="9">
    <w:abstractNumId w:val="3"/>
  </w:num>
  <w:num w:numId="10">
    <w:abstractNumId w:val="8"/>
  </w:num>
  <w:num w:numId="11">
    <w:abstractNumId w:val="1"/>
  </w:num>
  <w:num w:numId="12">
    <w:abstractNumId w:val="1"/>
    <w:lvlOverride w:ilvl="1">
      <w:lvl w:ilvl="1">
        <w:numFmt w:val="bullet"/>
        <w:lvlText w:val=""/>
        <w:lvlJc w:val="left"/>
        <w:pPr>
          <w:tabs>
            <w:tab w:val="num" w:pos="1440"/>
          </w:tabs>
          <w:ind w:left="1440" w:hanging="360"/>
        </w:pPr>
        <w:rPr>
          <w:rFonts w:ascii="Symbol" w:hAnsi="Symbol" w:hint="default"/>
          <w:sz w:val="20"/>
        </w:rPr>
      </w:lvl>
    </w:lvlOverride>
  </w:num>
  <w:num w:numId="13">
    <w:abstractNumId w:val="2"/>
    <w:lvlOverride w:ilvl="1">
      <w:lvl w:ilvl="1">
        <w:numFmt w:val="bullet"/>
        <w:lvlText w:val=""/>
        <w:lvlJc w:val="left"/>
        <w:pPr>
          <w:tabs>
            <w:tab w:val="num" w:pos="1440"/>
          </w:tabs>
          <w:ind w:left="1440" w:hanging="360"/>
        </w:pPr>
        <w:rPr>
          <w:rFonts w:ascii="Symbol" w:hAnsi="Symbol" w:hint="default"/>
          <w:sz w:val="20"/>
        </w:rPr>
      </w:lvl>
    </w:lvlOverride>
  </w:num>
  <w:num w:numId="14">
    <w:abstractNumId w:val="18"/>
  </w:num>
  <w:num w:numId="15">
    <w:abstractNumId w:val="16"/>
  </w:num>
  <w:num w:numId="16">
    <w:abstractNumId w:val="24"/>
  </w:num>
  <w:num w:numId="17">
    <w:abstractNumId w:val="19"/>
  </w:num>
  <w:num w:numId="18">
    <w:abstractNumId w:val="11"/>
  </w:num>
  <w:num w:numId="19">
    <w:abstractNumId w:val="10"/>
  </w:num>
  <w:num w:numId="20">
    <w:abstractNumId w:val="4"/>
  </w:num>
  <w:num w:numId="21">
    <w:abstractNumId w:val="14"/>
  </w:num>
  <w:num w:numId="22">
    <w:abstractNumId w:val="12"/>
  </w:num>
  <w:num w:numId="23">
    <w:abstractNumId w:val="25"/>
  </w:num>
  <w:num w:numId="24">
    <w:abstractNumId w:val="22"/>
  </w:num>
  <w:num w:numId="25">
    <w:abstractNumId w:val="26"/>
  </w:num>
  <w:num w:numId="26">
    <w:abstractNumId w:val="17"/>
  </w:num>
  <w:num w:numId="27">
    <w:abstractNumId w:val="1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E21"/>
    <w:rsid w:val="000D2B16"/>
    <w:rsid w:val="00123F2A"/>
    <w:rsid w:val="00146B91"/>
    <w:rsid w:val="001B55E1"/>
    <w:rsid w:val="001C4A84"/>
    <w:rsid w:val="001E4215"/>
    <w:rsid w:val="00317202"/>
    <w:rsid w:val="003C29FA"/>
    <w:rsid w:val="00424A61"/>
    <w:rsid w:val="004B4747"/>
    <w:rsid w:val="004E4D28"/>
    <w:rsid w:val="00507E21"/>
    <w:rsid w:val="00537D88"/>
    <w:rsid w:val="005F251A"/>
    <w:rsid w:val="006536A2"/>
    <w:rsid w:val="006B1B81"/>
    <w:rsid w:val="00800BDF"/>
    <w:rsid w:val="008A6776"/>
    <w:rsid w:val="008B765A"/>
    <w:rsid w:val="009620F3"/>
    <w:rsid w:val="00BA6E54"/>
    <w:rsid w:val="00C329B7"/>
    <w:rsid w:val="00D2109F"/>
    <w:rsid w:val="00D506AF"/>
    <w:rsid w:val="00D957FD"/>
    <w:rsid w:val="00E9441E"/>
    <w:rsid w:val="00FE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3F6F867E-34EB-43B6-9F43-8C96CD97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21"/>
  </w:style>
  <w:style w:type="paragraph" w:styleId="Heading1">
    <w:name w:val="heading 1"/>
    <w:basedOn w:val="Normal"/>
    <w:next w:val="Normal"/>
    <w:link w:val="Heading1Char"/>
    <w:rsid w:val="00507E21"/>
    <w:pPr>
      <w:keepNext/>
      <w:keepLines/>
      <w:pBdr>
        <w:top w:val="nil"/>
        <w:left w:val="nil"/>
        <w:bottom w:val="nil"/>
        <w:right w:val="nil"/>
        <w:between w:val="nil"/>
      </w:pBdr>
      <w:spacing w:before="480" w:after="120"/>
      <w:outlineLvl w:val="0"/>
    </w:pPr>
    <w:rPr>
      <w:rFonts w:ascii="Cambria" w:eastAsia="Cambria" w:hAnsi="Cambria" w:cs="Cambria"/>
      <w:b/>
      <w:color w:val="000000"/>
      <w:sz w:val="30"/>
      <w:szCs w:val="3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7E21"/>
    <w:rPr>
      <w:rFonts w:ascii="Cambria" w:eastAsia="Cambria" w:hAnsi="Cambria" w:cs="Cambria"/>
      <w:b/>
      <w:color w:val="000000"/>
      <w:sz w:val="30"/>
      <w:szCs w:val="30"/>
      <w:lang w:val="en"/>
    </w:rPr>
  </w:style>
  <w:style w:type="paragraph" w:styleId="ListParagraph">
    <w:name w:val="List Paragraph"/>
    <w:basedOn w:val="Normal"/>
    <w:uiPriority w:val="34"/>
    <w:qFormat/>
    <w:rsid w:val="00507E21"/>
    <w:pPr>
      <w:ind w:left="720"/>
      <w:contextualSpacing/>
    </w:pPr>
  </w:style>
  <w:style w:type="paragraph" w:styleId="Header">
    <w:name w:val="header"/>
    <w:basedOn w:val="Normal"/>
    <w:link w:val="HeaderChar"/>
    <w:uiPriority w:val="99"/>
    <w:unhideWhenUsed/>
    <w:rsid w:val="00507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E21"/>
  </w:style>
  <w:style w:type="paragraph" w:styleId="Footer">
    <w:name w:val="footer"/>
    <w:basedOn w:val="Normal"/>
    <w:link w:val="FooterChar"/>
    <w:uiPriority w:val="99"/>
    <w:unhideWhenUsed/>
    <w:rsid w:val="00507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E21"/>
  </w:style>
  <w:style w:type="character" w:styleId="CommentReference">
    <w:name w:val="annotation reference"/>
    <w:basedOn w:val="DefaultParagraphFont"/>
    <w:uiPriority w:val="99"/>
    <w:semiHidden/>
    <w:unhideWhenUsed/>
    <w:rsid w:val="00507E21"/>
    <w:rPr>
      <w:sz w:val="16"/>
      <w:szCs w:val="16"/>
    </w:rPr>
  </w:style>
  <w:style w:type="character" w:styleId="Hyperlink">
    <w:name w:val="Hyperlink"/>
    <w:basedOn w:val="DefaultParagraphFont"/>
    <w:uiPriority w:val="99"/>
    <w:unhideWhenUsed/>
    <w:rsid w:val="00507E21"/>
    <w:rPr>
      <w:color w:val="0000FF" w:themeColor="hyperlink"/>
      <w:u w:val="single"/>
    </w:rPr>
  </w:style>
  <w:style w:type="paragraph" w:styleId="FootnoteText">
    <w:name w:val="footnote text"/>
    <w:aliases w:val="Footnote Text Char Char,Footnote Text Char2 Char Char,Footnote Text Char3 Char1 Char Char,Footnote Text Char2 Char1 Char1 Char Char,Footnote Text Char3 Char1 Char Char Char Char,Footnote Text Char2,f,fn,ALTS FOOTNOTE,ALTS FOOTNOTE Char1"/>
    <w:link w:val="FootnoteTextChar"/>
    <w:rsid w:val="00507E21"/>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Footnote Text Char2 Char Char Char,Footnote Text Char3 Char1 Char Char Char,Footnote Text Char2 Char1 Char1 Char Char Char,Footnote Text Char3 Char1 Char Char Char Char Char,Footnote Text Char2 Char,f Char"/>
    <w:basedOn w:val="DefaultParagraphFont"/>
    <w:link w:val="FootnoteText"/>
    <w:rsid w:val="00507E21"/>
    <w:rPr>
      <w:rFonts w:ascii="Times New Roman" w:eastAsia="Times New Roman" w:hAnsi="Times New Roman" w:cs="Times New Roman"/>
      <w:sz w:val="20"/>
      <w:szCs w:val="20"/>
    </w:rPr>
  </w:style>
  <w:style w:type="character" w:styleId="FootnoteReference">
    <w:name w:val="footnote reference"/>
    <w:aliases w:val="Appel note de bas de p,Style 12,(NECG) Footnote Reference,Style 124,o,fr,Style 3,Style 13,FR,Style 6,Style 17,Footnote Reference/,Style 7,Footnote Reference1,Style 4,Style 34,Style 9,Style 20,callout,-E Funotenzeichen"/>
    <w:rsid w:val="00507E21"/>
    <w:rPr>
      <w:rFonts w:ascii="Times New Roman" w:hAnsi="Times New Roman"/>
      <w:dstrike w:val="0"/>
      <w:color w:val="auto"/>
      <w:sz w:val="20"/>
      <w:vertAlign w:val="superscript"/>
    </w:rPr>
  </w:style>
  <w:style w:type="paragraph" w:styleId="BalloonText">
    <w:name w:val="Balloon Text"/>
    <w:basedOn w:val="Normal"/>
    <w:link w:val="BalloonTextChar"/>
    <w:uiPriority w:val="99"/>
    <w:semiHidden/>
    <w:unhideWhenUsed/>
    <w:rsid w:val="00507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E21"/>
    <w:rPr>
      <w:rFonts w:ascii="Tahoma" w:hAnsi="Tahoma" w:cs="Tahoma"/>
      <w:sz w:val="16"/>
      <w:szCs w:val="16"/>
    </w:rPr>
  </w:style>
  <w:style w:type="character" w:styleId="FollowedHyperlink">
    <w:name w:val="FollowedHyperlink"/>
    <w:basedOn w:val="DefaultParagraphFont"/>
    <w:uiPriority w:val="99"/>
    <w:semiHidden/>
    <w:unhideWhenUsed/>
    <w:rsid w:val="005F25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pps.fcc.gov/edocs_public/attachmatch/FCC-17-38A1_Rcd.pdf" TargetMode="External"/><Relationship Id="rId1" Type="http://schemas.openxmlformats.org/officeDocument/2006/relationships/hyperlink" Target="https://apps.fcc.gov/edocs_public/attachmatch/FCC-17-60A1_Rc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7283-756A-4932-B3DE-69BB9055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9272</Words>
  <Characters>52851</Characters>
  <Application>Microsoft Office Word</Application>
  <DocSecurity>4</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TDS</Company>
  <LinksUpToDate>false</LinksUpToDate>
  <CharactersWithSpaces>62000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Tim</dc:creator>
  <cp:lastModifiedBy>Brian Hurley</cp:lastModifiedBy>
  <cp:revision>2</cp:revision>
  <cp:lastPrinted>2017-11-03T14:22:00Z</cp:lastPrinted>
  <dcterms:created xsi:type="dcterms:W3CDTF">2017-11-07T23:32:00Z</dcterms:created>
  <dcterms:modified xsi:type="dcterms:W3CDTF">2017-11-07T23:32:00Z</dcterms:modified>
</cp:coreProperties>
</file>